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8D7" w:rsidRDefault="005F38D7" w:rsidP="00410A8A">
      <w:pPr>
        <w:pStyle w:val="Title"/>
      </w:pPr>
      <w:r>
        <w:t xml:space="preserve">Helping Engineers Design NEAT </w:t>
      </w:r>
      <w:r w:rsidR="000C5C34">
        <w:t xml:space="preserve">Security </w:t>
      </w:r>
      <w:r>
        <w:t>Warnings</w:t>
      </w:r>
    </w:p>
    <w:p w:rsidR="00AC0679" w:rsidRDefault="00AC0679" w:rsidP="00AC0679">
      <w:pPr>
        <w:pStyle w:val="Author"/>
      </w:pPr>
      <w:r>
        <w:t>Rob Reeder, Ellen Cram Kowalczyk, and Adam Shostack</w:t>
      </w:r>
    </w:p>
    <w:p w:rsidR="00AC0679" w:rsidRDefault="00AC0679" w:rsidP="00AC0679">
      <w:pPr>
        <w:pStyle w:val="Author"/>
        <w:rPr>
          <w:b w:val="0"/>
        </w:rPr>
      </w:pPr>
      <w:r>
        <w:rPr>
          <w:b w:val="0"/>
        </w:rPr>
        <w:t>Microsoft</w:t>
      </w:r>
    </w:p>
    <w:p w:rsidR="00AC0679" w:rsidRDefault="00AC0679" w:rsidP="00AC0679">
      <w:pPr>
        <w:pStyle w:val="Author"/>
        <w:rPr>
          <w:b w:val="0"/>
        </w:rPr>
      </w:pPr>
      <w:r>
        <w:rPr>
          <w:b w:val="0"/>
        </w:rPr>
        <w:t>Redmond, WA, USA</w:t>
      </w:r>
    </w:p>
    <w:p w:rsidR="00AC0679" w:rsidRPr="00AC0679" w:rsidRDefault="00AC0679" w:rsidP="00AC0679">
      <w:pPr>
        <w:pStyle w:val="Author"/>
        <w:rPr>
          <w:b w:val="0"/>
        </w:rPr>
        <w:sectPr w:rsidR="00AC0679" w:rsidRPr="00AC0679" w:rsidSect="006B3F1F">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pPr>
      <w:r>
        <w:rPr>
          <w:b w:val="0"/>
        </w:rPr>
        <w:t xml:space="preserve">{roreeder, ellencr, </w:t>
      </w:r>
      <w:r w:rsidR="005F42AE">
        <w:rPr>
          <w:b w:val="0"/>
        </w:rPr>
        <w:t>adam.shostack</w:t>
      </w:r>
      <w:r>
        <w:rPr>
          <w:b w:val="0"/>
        </w:rPr>
        <w:t>}@microsoft.com</w:t>
      </w:r>
    </w:p>
    <w:p w:rsidR="006B3F1F" w:rsidRDefault="006B3F1F">
      <w:pPr>
        <w:pStyle w:val="Author"/>
        <w:rPr>
          <w:sz w:val="20"/>
        </w:rPr>
      </w:pPr>
    </w:p>
    <w:p w:rsidR="006B3F1F" w:rsidRDefault="006B3F1F">
      <w:pPr>
        <w:pStyle w:val="Author"/>
        <w:rPr>
          <w:sz w:val="20"/>
        </w:rPr>
        <w:sectPr w:rsidR="006B3F1F" w:rsidSect="005F38D7">
          <w:type w:val="continuous"/>
          <w:pgSz w:w="12240" w:h="15840"/>
          <w:pgMar w:top="1440" w:right="1080" w:bottom="1440" w:left="1080" w:header="720" w:footer="720" w:gutter="0"/>
          <w:cols w:space="720"/>
          <w:docGrid w:linePitch="360"/>
        </w:sectPr>
      </w:pPr>
    </w:p>
    <w:p w:rsidR="006B3F1F" w:rsidRDefault="006B3F1F">
      <w:pPr>
        <w:pStyle w:val="Heading1"/>
        <w:spacing w:before="0"/>
      </w:pPr>
      <w:r>
        <w:lastRenderedPageBreak/>
        <w:t>ABSTRACT</w:t>
      </w:r>
    </w:p>
    <w:p w:rsidR="006B3F1F" w:rsidRDefault="005433A2">
      <w:r>
        <w:rPr>
          <w:noProof/>
        </w:rPr>
        <w:drawing>
          <wp:anchor distT="0" distB="0" distL="114300" distR="114300" simplePos="0" relativeHeight="251657216" behindDoc="0" locked="0" layoutInCell="1" allowOverlap="0" wp14:anchorId="5854F5C7" wp14:editId="4E65B91F">
            <wp:simplePos x="0" y="0"/>
            <wp:positionH relativeFrom="column">
              <wp:posOffset>3337560</wp:posOffset>
            </wp:positionH>
            <wp:positionV relativeFrom="paragraph">
              <wp:posOffset>1900555</wp:posOffset>
            </wp:positionV>
            <wp:extent cx="1126490" cy="1329055"/>
            <wp:effectExtent l="0" t="0" r="0" b="4445"/>
            <wp:wrapSquare wrapText="bothSides"/>
            <wp:docPr id="37" name="Picture 37" descr="NEATc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NEATcard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26490" cy="1329055"/>
                    </a:xfrm>
                    <a:prstGeom prst="rect">
                      <a:avLst/>
                    </a:prstGeom>
                    <a:noFill/>
                    <a:ln>
                      <a:noFill/>
                    </a:ln>
                  </pic:spPr>
                </pic:pic>
              </a:graphicData>
            </a:graphic>
            <wp14:sizeRelH relativeFrom="page">
              <wp14:pctWidth>0</wp14:pctWidth>
            </wp14:sizeRelH>
            <wp14:sizeRelV relativeFrom="page">
              <wp14:pctHeight>0</wp14:pctHeight>
            </wp14:sizeRelV>
          </wp:anchor>
        </w:drawing>
      </w:r>
      <w:r w:rsidR="00AC0679">
        <w:t xml:space="preserve">Software engineers who design large </w:t>
      </w:r>
      <w:r w:rsidR="004D69A0">
        <w:t>systems have a multitude of concerns to address before shipping their software.  Usability and security are merely two of these concerns, and usable security is a small slice of th</w:t>
      </w:r>
      <w:r w:rsidR="005F42AE">
        <w:t>ose</w:t>
      </w:r>
      <w:r w:rsidR="004D69A0">
        <w:t xml:space="preserve">.  Thus, software engineers can only be expected to spend a small fraction of their time on usable security concerns.  </w:t>
      </w:r>
      <w:r w:rsidR="00AE23F3">
        <w:t>Our team, t</w:t>
      </w:r>
      <w:r w:rsidR="005F42AE">
        <w:t>he Usable Security team in Microsoft Trustworthy Computing</w:t>
      </w:r>
      <w:r w:rsidR="00AE23F3">
        <w:t>,</w:t>
      </w:r>
      <w:r w:rsidR="005F42AE">
        <w:t xml:space="preserve"> acts as a central resource for product </w:t>
      </w:r>
      <w:r w:rsidR="00ED2EB9">
        <w:t>teams</w:t>
      </w:r>
      <w:r w:rsidR="005F42AE">
        <w:t>.  We have</w:t>
      </w:r>
      <w:r w:rsidR="004D69A0">
        <w:t xml:space="preserve"> been working </w:t>
      </w:r>
      <w:r w:rsidR="0025036D">
        <w:t>to help them</w:t>
      </w:r>
      <w:r w:rsidR="004D69A0">
        <w:t xml:space="preserve"> </w:t>
      </w:r>
      <w:r w:rsidR="0025036D">
        <w:t xml:space="preserve">use </w:t>
      </w:r>
      <w:r w:rsidR="004D69A0">
        <w:t xml:space="preserve">the latest </w:t>
      </w:r>
      <w:r w:rsidR="0025036D">
        <w:t xml:space="preserve">knowledge from the </w:t>
      </w:r>
      <w:r w:rsidR="004D69A0">
        <w:t>usable security</w:t>
      </w:r>
      <w:r w:rsidR="0025036D">
        <w:t xml:space="preserve"> community </w:t>
      </w:r>
      <w:r w:rsidR="00BA3D5D">
        <w:t>to design security warnings</w:t>
      </w:r>
      <w:r w:rsidR="004D69A0">
        <w:t xml:space="preserve">.  </w:t>
      </w:r>
      <w:r w:rsidR="0025036D">
        <w:t xml:space="preserve">Because these engineers have so many demands on their time, we have had to </w:t>
      </w:r>
      <w:r w:rsidR="00BA3D5D">
        <w:t>condense our guidance into a short, easily consumed form.  In fact, we have condensed it to four letters:  NEAT.  A good security warning should be Necessary, Explained, Actionable, and Tested.  With these four letters and the training materials we have built around them, engineers are able to comprehend and use the latest usable security results.</w:t>
      </w:r>
    </w:p>
    <w:p w:rsidR="006B3F1F" w:rsidRDefault="006B3F1F">
      <w:pPr>
        <w:pStyle w:val="Heading1"/>
      </w:pPr>
      <w:r>
        <w:t>INTRODUCTION</w:t>
      </w:r>
    </w:p>
    <w:p w:rsidR="0075274A" w:rsidRDefault="00EE5FC4" w:rsidP="0075274A">
      <w:r>
        <w:rPr>
          <w:noProof/>
        </w:rPr>
        <mc:AlternateContent>
          <mc:Choice Requires="wps">
            <w:drawing>
              <wp:anchor distT="0" distB="0" distL="114300" distR="114300" simplePos="0" relativeHeight="251658240" behindDoc="0" locked="0" layoutInCell="1" allowOverlap="1" wp14:anchorId="2F7BAE55" wp14:editId="36DBC513">
                <wp:simplePos x="0" y="0"/>
                <wp:positionH relativeFrom="column">
                  <wp:posOffset>3305810</wp:posOffset>
                </wp:positionH>
                <wp:positionV relativeFrom="paragraph">
                  <wp:posOffset>389890</wp:posOffset>
                </wp:positionV>
                <wp:extent cx="1492250" cy="565150"/>
                <wp:effectExtent l="0" t="0" r="0" b="63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565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3BDA" w:rsidRDefault="003A3BDA" w:rsidP="003A3BDA">
                            <w:pPr>
                              <w:pStyle w:val="Caption"/>
                              <w:jc w:val="both"/>
                            </w:pPr>
                            <w:r w:rsidRPr="00653523">
                              <w:rPr>
                                <w:sz w:val="16"/>
                              </w:rPr>
                              <w:t>Figure</w:t>
                            </w:r>
                            <w:r w:rsidR="00CF08B5">
                              <w:rPr>
                                <w:sz w:val="16"/>
                              </w:rPr>
                              <w:t xml:space="preserve"> </w:t>
                            </w:r>
                            <w:r w:rsidRPr="00653523">
                              <w:rPr>
                                <w:sz w:val="16"/>
                              </w:rPr>
                              <w:fldChar w:fldCharType="begin"/>
                            </w:r>
                            <w:r w:rsidRPr="00653523">
                              <w:rPr>
                                <w:sz w:val="16"/>
                              </w:rPr>
                              <w:instrText xml:space="preserve"> SEQ Figure \* ARABIC </w:instrText>
                            </w:r>
                            <w:r w:rsidRPr="00653523">
                              <w:rPr>
                                <w:sz w:val="16"/>
                              </w:rPr>
                              <w:fldChar w:fldCharType="separate"/>
                            </w:r>
                            <w:r w:rsidR="000D24A7">
                              <w:rPr>
                                <w:noProof/>
                                <w:sz w:val="16"/>
                              </w:rPr>
                              <w:t>1</w:t>
                            </w:r>
                            <w:r w:rsidRPr="00653523">
                              <w:rPr>
                                <w:sz w:val="16"/>
                              </w:rPr>
                              <w:fldChar w:fldCharType="end"/>
                            </w:r>
                            <w:r w:rsidRPr="00653523">
                              <w:rPr>
                                <w:sz w:val="16"/>
                              </w:rPr>
                              <w:t xml:space="preserve">. Wallet-sized cards summarizing our </w:t>
                            </w:r>
                            <w:r w:rsidR="00AE23F3">
                              <w:rPr>
                                <w:sz w:val="16"/>
                              </w:rPr>
                              <w:t xml:space="preserve">first-version </w:t>
                            </w:r>
                            <w:r w:rsidRPr="008E7148">
                              <w:rPr>
                                <w:sz w:val="16"/>
                              </w:rPr>
                              <w:t>usable security</w:t>
                            </w:r>
                            <w:r w:rsidRPr="008E7148">
                              <w:rPr>
                                <w:sz w:val="14"/>
                              </w:rPr>
                              <w:t xml:space="preserve"> </w:t>
                            </w:r>
                            <w:r w:rsidRPr="008E7148">
                              <w:rPr>
                                <w:sz w:val="16"/>
                              </w:rPr>
                              <w:t>guidance.</w:t>
                            </w:r>
                          </w:p>
                          <w:p w:rsidR="003A3BDA" w:rsidRDefault="003A3BDA" w:rsidP="003A3BD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0.3pt;margin-top:30.7pt;width:117.5pt;height: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TLDgAIAAA8FAAAOAAAAZHJzL2Uyb0RvYy54bWysVNuO2yAQfa/Uf0C8Z32RnY2tdVbd3aaq&#10;tL1Iu/0AAjhGxUCBxN5W/fcOOMm6l4eqqh8wMMOZGc4Zrq7HXqIDt05o1eDsIsWIK6qZULsGf3rc&#10;LFYYOU8UI1Ir3uAn7vD1+uWLq8HUPNedloxbBCDK1YNpcOe9qZPE0Y73xF1owxUYW2174mFpdwmz&#10;ZAD0XiZ5mi6TQVtmrKbcOdi9m4x4HfHbllP/oW0d90g2GHLzcbRx3IYxWV+RemeJ6QQ9pkH+IYue&#10;CAVBz1B3xBO0t+I3qF5Qq51u/QXVfaLbVlAea4BqsvSXah46YnisBS7HmfM1uf8HS98fPlokGHCH&#10;kSI9UPTIR49u9IjycDuDcTU4PRhw8yNsB89QqTP3mn52SOnbjqgdf2WtHjpOGGSXhZPJ7OiE4wLI&#10;dninGYQhe68j0NjaPgDCZSBAB5aezsyEVGgIWVR5XoKJgq1clhnMQwhSn04b6/wbrnsUJg22wHxE&#10;J4d75yfXk0vMXkvBNkLKuLC77a206EBAJZv4HdHd3E2q4Kx0ODYhTjuQJMQItpBuZP1bleVFepNX&#10;i81ydbkoNkW5qC7T1SLNqptqmRZVcbf5HhLMiroTjHF1LxQ/KTAr/o7hYy9M2okaREODqzIvJ4rm&#10;2bt5kWn8/lRkLzw0pBR9g1dnJ1IHYl8rBmWT2hMhp3nyc/qRELiD0z/eSpRBYH7SgB+3I6AEbWw1&#10;ewJBWA18AbXwisCk0/YrRgN0ZIPdlz2xHCP5VoGoqqwoQgvHRVFe5rCwc8t2biGKAlSDPUbT9NZP&#10;bb83Vuw6iDTJWOlXIMRWRI08Z3WUL3RdLOb4QoS2nq+j1/M7tv4BAAD//wMAUEsDBBQABgAIAAAA&#10;IQBjXI/D3QAAAAoBAAAPAAAAZHJzL2Rvd25yZXYueG1sTI/LTsMwEEX3SPyDNUhsELVb5QEhTgVI&#10;ILZ9fIATT5OIeBzFbpP+PcMKljNzdOfccru4QVxwCr0nDeuVAoHUeNtTq+F4+Hh8AhGiIWsGT6jh&#10;igG21e1NaQrrZ9rhZR9bwSEUCqOhi3EspAxNh86ElR+R+HbykzORx6mVdjIzh7tBbpTKpDM98YfO&#10;jPjeYfO9PzsNp6/5IX2e6894zHdJ9mb6vPZXre/vltcXEBGX+AfDrz6rQ8VOtT+TDWLQkG5UxqiG&#10;bJ2AYCBPU17UTKYqAVmV8n+F6gcAAP//AwBQSwECLQAUAAYACAAAACEAtoM4kv4AAADhAQAAEwAA&#10;AAAAAAAAAAAAAAAAAAAAW0NvbnRlbnRfVHlwZXNdLnhtbFBLAQItABQABgAIAAAAIQA4/SH/1gAA&#10;AJQBAAALAAAAAAAAAAAAAAAAAC8BAABfcmVscy8ucmVsc1BLAQItABQABgAIAAAAIQDydTLDgAIA&#10;AA8FAAAOAAAAAAAAAAAAAAAAAC4CAABkcnMvZTJvRG9jLnhtbFBLAQItABQABgAIAAAAIQBjXI/D&#10;3QAAAAoBAAAPAAAAAAAAAAAAAAAAANoEAABkcnMvZG93bnJldi54bWxQSwUGAAAAAAQABADzAAAA&#10;5AUAAAAA&#10;" stroked="f">
                <v:textbox>
                  <w:txbxContent>
                    <w:p w:rsidR="003A3BDA" w:rsidRDefault="003A3BDA" w:rsidP="003A3BDA">
                      <w:pPr>
                        <w:pStyle w:val="Caption"/>
                        <w:jc w:val="both"/>
                      </w:pPr>
                      <w:r w:rsidRPr="00653523">
                        <w:rPr>
                          <w:sz w:val="16"/>
                        </w:rPr>
                        <w:t>Figure</w:t>
                      </w:r>
                      <w:r w:rsidR="00CF08B5">
                        <w:rPr>
                          <w:sz w:val="16"/>
                        </w:rPr>
                        <w:t xml:space="preserve"> </w:t>
                      </w:r>
                      <w:r w:rsidRPr="00653523">
                        <w:rPr>
                          <w:sz w:val="16"/>
                        </w:rPr>
                        <w:fldChar w:fldCharType="begin"/>
                      </w:r>
                      <w:r w:rsidRPr="00653523">
                        <w:rPr>
                          <w:sz w:val="16"/>
                        </w:rPr>
                        <w:instrText xml:space="preserve"> SEQ Figure \* ARABIC </w:instrText>
                      </w:r>
                      <w:r w:rsidRPr="00653523">
                        <w:rPr>
                          <w:sz w:val="16"/>
                        </w:rPr>
                        <w:fldChar w:fldCharType="separate"/>
                      </w:r>
                      <w:r w:rsidR="000D24A7">
                        <w:rPr>
                          <w:noProof/>
                          <w:sz w:val="16"/>
                        </w:rPr>
                        <w:t>1</w:t>
                      </w:r>
                      <w:r w:rsidRPr="00653523">
                        <w:rPr>
                          <w:sz w:val="16"/>
                        </w:rPr>
                        <w:fldChar w:fldCharType="end"/>
                      </w:r>
                      <w:r w:rsidRPr="00653523">
                        <w:rPr>
                          <w:sz w:val="16"/>
                        </w:rPr>
                        <w:t xml:space="preserve">. Wallet-sized cards summarizing our </w:t>
                      </w:r>
                      <w:r w:rsidR="00AE23F3">
                        <w:rPr>
                          <w:sz w:val="16"/>
                        </w:rPr>
                        <w:t xml:space="preserve">first-version </w:t>
                      </w:r>
                      <w:r w:rsidRPr="008E7148">
                        <w:rPr>
                          <w:sz w:val="16"/>
                        </w:rPr>
                        <w:t>usable security</w:t>
                      </w:r>
                      <w:r w:rsidRPr="008E7148">
                        <w:rPr>
                          <w:sz w:val="14"/>
                        </w:rPr>
                        <w:t xml:space="preserve"> </w:t>
                      </w:r>
                      <w:r w:rsidRPr="008E7148">
                        <w:rPr>
                          <w:sz w:val="16"/>
                        </w:rPr>
                        <w:t>guidance.</w:t>
                      </w:r>
                    </w:p>
                    <w:p w:rsidR="003A3BDA" w:rsidRDefault="003A3BDA" w:rsidP="003A3BDA"/>
                  </w:txbxContent>
                </v:textbox>
                <w10:wrap type="square"/>
              </v:shape>
            </w:pict>
          </mc:Fallback>
        </mc:AlternateContent>
      </w:r>
      <w:r w:rsidR="0075274A">
        <w:t xml:space="preserve">Computer users face a barrage of decisions about </w:t>
      </w:r>
      <w:proofErr w:type="gramStart"/>
      <w:r w:rsidR="0075274A">
        <w:t>who</w:t>
      </w:r>
      <w:proofErr w:type="gramEnd"/>
      <w:r w:rsidR="0075274A">
        <w:t xml:space="preserve"> and what to </w:t>
      </w:r>
      <w:r w:rsidR="00AE23F3">
        <w:t>“</w:t>
      </w:r>
      <w:r w:rsidR="0075274A">
        <w:t>trust,</w:t>
      </w:r>
      <w:r w:rsidR="00AE23F3">
        <w:t>”</w:t>
      </w:r>
      <w:r w:rsidR="0075274A">
        <w:t xml:space="preserve"> and when to be concerned about their security.  These security </w:t>
      </w:r>
      <w:r w:rsidR="00C74416">
        <w:t xml:space="preserve">decisions </w:t>
      </w:r>
      <w:r w:rsidR="0075274A">
        <w:t xml:space="preserve">arise when users initiate activities like </w:t>
      </w:r>
      <w:r w:rsidR="00296021">
        <w:t xml:space="preserve">visiting a website, </w:t>
      </w:r>
      <w:r w:rsidR="0075274A">
        <w:t xml:space="preserve">installing an executable from the Web, </w:t>
      </w:r>
      <w:r w:rsidR="00296021">
        <w:t xml:space="preserve">or </w:t>
      </w:r>
      <w:r w:rsidR="0075274A">
        <w:t xml:space="preserve">using an application that needs to get through the firewall.  </w:t>
      </w:r>
      <w:r w:rsidR="00296021">
        <w:t xml:space="preserve">Security </w:t>
      </w:r>
      <w:r w:rsidR="00FC2071">
        <w:t xml:space="preserve">decisions are surfaced to users by a platform – for example, an operating system or a Web browser.  </w:t>
      </w:r>
      <w:r w:rsidR="00296021">
        <w:t>Designers of platforms design the experience users go through when making trust decision</w:t>
      </w:r>
      <w:r w:rsidR="00AE23F3">
        <w:t>s</w:t>
      </w:r>
      <w:r w:rsidR="00296021">
        <w:t xml:space="preserve">, and this user experience can lead users to make better or worse decisions, depending on how they are designed.  </w:t>
      </w:r>
    </w:p>
    <w:p w:rsidR="00296021" w:rsidRDefault="00296021" w:rsidP="0075274A">
      <w:r>
        <w:t xml:space="preserve">Our team at Microsoft, the Usable Security team, was formed to help engineers within Microsoft design better user experiences for making security decisions.  This paper is </w:t>
      </w:r>
      <w:r w:rsidR="005F42AE">
        <w:t xml:space="preserve">a part of </w:t>
      </w:r>
      <w:r>
        <w:t>the story of how we have done that</w:t>
      </w:r>
      <w:r w:rsidR="00C74416">
        <w:t xml:space="preserve"> and</w:t>
      </w:r>
      <w:r>
        <w:t xml:space="preserve"> how we help engineers today.</w:t>
      </w:r>
      <w:r w:rsidR="005F42AE">
        <w:t xml:space="preserve">  We believe the approach is likely usable at other organizations, or by researchers analyzing the usable security of systems.</w:t>
      </w:r>
    </w:p>
    <w:p w:rsidR="00296021" w:rsidRDefault="00653523" w:rsidP="00296021">
      <w:pPr>
        <w:pStyle w:val="Heading1"/>
      </w:pPr>
      <w:r>
        <w:t>Developing guidance for engineers</w:t>
      </w:r>
    </w:p>
    <w:p w:rsidR="00296021" w:rsidRDefault="00296021" w:rsidP="00D5799A">
      <w:pPr>
        <w:keepNext/>
      </w:pPr>
      <w:r>
        <w:t xml:space="preserve">Our </w:t>
      </w:r>
      <w:r w:rsidR="00C74416">
        <w:t xml:space="preserve">team’s </w:t>
      </w:r>
      <w:r>
        <w:t xml:space="preserve">first task was to gather </w:t>
      </w:r>
      <w:r w:rsidR="003A6930">
        <w:t xml:space="preserve">the usable security </w:t>
      </w:r>
      <w:r>
        <w:t xml:space="preserve">knowledge that </w:t>
      </w:r>
      <w:r w:rsidR="003A6930">
        <w:t xml:space="preserve">we would encourage </w:t>
      </w:r>
      <w:r>
        <w:t xml:space="preserve">Microsoft engineers </w:t>
      </w:r>
      <w:r w:rsidR="003A6930">
        <w:t>to</w:t>
      </w:r>
      <w:r>
        <w:t xml:space="preserve"> follow.  </w:t>
      </w:r>
      <w:r w:rsidR="005967D3">
        <w:t xml:space="preserve">We gathered a group of internal Microsoft experts in both security and usability to help determine what </w:t>
      </w:r>
      <w:r w:rsidR="00C74416">
        <w:t xml:space="preserve">that </w:t>
      </w:r>
      <w:r w:rsidR="005967D3">
        <w:t xml:space="preserve">knowledge </w:t>
      </w:r>
      <w:r w:rsidR="00C74416">
        <w:t>should be</w:t>
      </w:r>
      <w:r w:rsidR="005967D3">
        <w:t xml:space="preserve">.  Initially, the group surveyed the need for usable security advice by inviting product teams with plans for security-related features to present those </w:t>
      </w:r>
      <w:r w:rsidR="005967D3">
        <w:lastRenderedPageBreak/>
        <w:t>features to</w:t>
      </w:r>
      <w:r w:rsidR="00F20AD0">
        <w:t xml:space="preserve"> </w:t>
      </w:r>
      <w:r w:rsidR="005967D3">
        <w:t>the group and receive expert feedback on the</w:t>
      </w:r>
      <w:r w:rsidR="00F20AD0">
        <w:t xml:space="preserve"> </w:t>
      </w:r>
      <w:r w:rsidR="005967D3">
        <w:t xml:space="preserve">user </w:t>
      </w:r>
      <w:r w:rsidR="00F20AD0">
        <w:t>e</w:t>
      </w:r>
      <w:r w:rsidR="005967D3">
        <w:t>xperience</w:t>
      </w:r>
      <w:r w:rsidR="00916248">
        <w:t xml:space="preserve">s in those </w:t>
      </w:r>
      <w:r w:rsidR="005967D3">
        <w:t>plans.</w:t>
      </w:r>
      <w:r w:rsidR="00916248">
        <w:t xml:space="preserve">  Through these sessions, the group learned what usable security questions the teams needed answers to.  Key questions included:</w:t>
      </w:r>
    </w:p>
    <w:p w:rsidR="00916248" w:rsidRDefault="00916248" w:rsidP="008E7148">
      <w:pPr>
        <w:numPr>
          <w:ilvl w:val="0"/>
          <w:numId w:val="33"/>
        </w:numPr>
        <w:ind w:left="540"/>
      </w:pPr>
      <w:r>
        <w:t>When is it appropriate to interrupt users with a warning dialog to ask security questions?</w:t>
      </w:r>
    </w:p>
    <w:p w:rsidR="00916248" w:rsidRDefault="00916248" w:rsidP="008E7148">
      <w:pPr>
        <w:numPr>
          <w:ilvl w:val="0"/>
          <w:numId w:val="33"/>
        </w:numPr>
        <w:ind w:left="540"/>
      </w:pPr>
      <w:r>
        <w:t>When presenting a security question to a user with a dialog, how should the dialog user interface be designed?</w:t>
      </w:r>
    </w:p>
    <w:p w:rsidR="00916248" w:rsidRDefault="00916248" w:rsidP="00916248">
      <w:r>
        <w:t xml:space="preserve">After several of these sessions, the group began an effort to gather the knowledge to share with teams.  To gather this knowledge, the group drew upon </w:t>
      </w:r>
      <w:r w:rsidRPr="00916248">
        <w:t>int</w:t>
      </w:r>
      <w:r>
        <w:t>ernal and external usable security research</w:t>
      </w:r>
      <w:r w:rsidRPr="00916248">
        <w:t xml:space="preserve"> </w:t>
      </w:r>
      <w:r>
        <w:t xml:space="preserve">as well as </w:t>
      </w:r>
      <w:r w:rsidRPr="00916248">
        <w:t xml:space="preserve">insights gained from </w:t>
      </w:r>
      <w:r>
        <w:t xml:space="preserve">the presentations by </w:t>
      </w:r>
      <w:r w:rsidRPr="00916248">
        <w:t>product teams</w:t>
      </w:r>
      <w:r>
        <w:t xml:space="preserve">.  Since usable security is still a nascent field, this process was not easy; there are many competing ideas and many gaps in knowledge that make it difficult to gather a definitive set of knowledge to share with engineers.  </w:t>
      </w:r>
      <w:r w:rsidR="005F42AE">
        <w:t xml:space="preserve">Existing </w:t>
      </w:r>
      <w:r w:rsidR="005433A2">
        <w:t>literature</w:t>
      </w:r>
      <w:r w:rsidR="005F42AE">
        <w:t xml:space="preserve"> was seen as too remote from the day-to-day needs of engineers.</w:t>
      </w:r>
    </w:p>
    <w:p w:rsidR="00916248" w:rsidRDefault="00916248" w:rsidP="00916248">
      <w:r>
        <w:t xml:space="preserve">Ultimately, the group produced a paper that captured a consensus view of the most important </w:t>
      </w:r>
      <w:r w:rsidR="00C74416">
        <w:t>aspects</w:t>
      </w:r>
      <w:r>
        <w:t xml:space="preserve"> of knowledge </w:t>
      </w:r>
      <w:r w:rsidR="008E7148">
        <w:t xml:space="preserve">about designing usable security warnings </w:t>
      </w:r>
      <w:r>
        <w:t xml:space="preserve">to share as guidance with engineers.  </w:t>
      </w:r>
      <w:r w:rsidR="002932FF">
        <w:t xml:space="preserve">The paper consisted of 24 pages, with 68 </w:t>
      </w:r>
      <w:r w:rsidR="00C74416">
        <w:t>item</w:t>
      </w:r>
      <w:r w:rsidR="002932FF">
        <w:t xml:space="preserve">s of advice arranged into a hierarchy 3 levels deep.  Having produced the paper, we showed it to a few engineers to see what they thought.  We quickly </w:t>
      </w:r>
      <w:r w:rsidR="005A5401">
        <w:t xml:space="preserve">saw we had </w:t>
      </w:r>
      <w:r w:rsidR="00C74416">
        <w:t>a significant problem</w:t>
      </w:r>
      <w:r w:rsidR="002932FF">
        <w:t>:  Microsoft engineers do not have time in their day to read 24 pages and 68 bullet points about usable security.  The list of concerns fo</w:t>
      </w:r>
      <w:r w:rsidR="00C74416">
        <w:t>r a Microsoft engineer is long; it includes</w:t>
      </w:r>
      <w:r w:rsidR="002932FF">
        <w:t xml:space="preserve"> functionality, performance, reliability, localization, </w:t>
      </w:r>
      <w:r w:rsidR="005A5401">
        <w:t xml:space="preserve">accessibility, </w:t>
      </w:r>
      <w:r w:rsidR="002932FF">
        <w:t>backward compatibility, and maintainability</w:t>
      </w:r>
      <w:r w:rsidR="005A5401">
        <w:t>, just</w:t>
      </w:r>
      <w:r w:rsidR="002932FF">
        <w:t xml:space="preserve"> to name a few.</w:t>
      </w:r>
      <w:r w:rsidR="00734981">
        <w:t xml:space="preserve">  Security and usability are both on this list, to be sure, but usable security is only a tiny slice of usability (most of a product’s user experience has nothing to do with security) and a tiny slice of security (security includes both the development of security-related features and product-wide activities like threat modeling and penetration testing).  Time for usable security is thus </w:t>
      </w:r>
      <w:r w:rsidR="005A5401">
        <w:t>very</w:t>
      </w:r>
      <w:r w:rsidR="00734981">
        <w:t xml:space="preserve"> limited.</w:t>
      </w:r>
    </w:p>
    <w:p w:rsidR="00734981" w:rsidRDefault="005A5401" w:rsidP="00916248">
      <w:r>
        <w:lastRenderedPageBreak/>
        <w:t>So, our team</w:t>
      </w:r>
      <w:r w:rsidR="00734981">
        <w:t xml:space="preserve"> took on </w:t>
      </w:r>
      <w:r>
        <w:t xml:space="preserve">a </w:t>
      </w:r>
      <w:r w:rsidR="00734981">
        <w:t>second task</w:t>
      </w:r>
      <w:r>
        <w:t xml:space="preserve"> to </w:t>
      </w:r>
      <w:r w:rsidR="00734981">
        <w:t xml:space="preserve">simplify </w:t>
      </w:r>
      <w:r>
        <w:t xml:space="preserve">our </w:t>
      </w:r>
      <w:r w:rsidR="00734981">
        <w:t>usable security guidance</w:t>
      </w:r>
      <w:r>
        <w:t>.  As we confronted this second task</w:t>
      </w:r>
      <w:r w:rsidR="00734981">
        <w:t xml:space="preserve">, we </w:t>
      </w:r>
      <w:r>
        <w:t xml:space="preserve">also </w:t>
      </w:r>
      <w:r w:rsidR="00734981">
        <w:t xml:space="preserve">sought to satisfy a second goal:  raising awareness of the importance of usable security.  Since the field is still nascent, not all engineers have been exposed to it.  We saw an opportunity as we simplified our guidance to </w:t>
      </w:r>
      <w:r w:rsidR="001D00EB">
        <w:t xml:space="preserve">both make it easier and faster for engineers to consume and also to make it more memorable by inventing a convenient mnemonic.  The mnemonic we came up with is </w:t>
      </w:r>
      <w:r>
        <w:t xml:space="preserve">a </w:t>
      </w:r>
      <w:r w:rsidR="001D00EB">
        <w:t>nifty</w:t>
      </w:r>
      <w:r>
        <w:t xml:space="preserve"> acronym</w:t>
      </w:r>
      <w:r w:rsidR="001D00EB">
        <w:t>:  NEAT.</w:t>
      </w:r>
    </w:p>
    <w:p w:rsidR="001D00EB" w:rsidRDefault="001D00EB" w:rsidP="001D00EB">
      <w:pPr>
        <w:pStyle w:val="Heading1"/>
      </w:pPr>
      <w:r>
        <w:t>NEAT</w:t>
      </w:r>
      <w:r w:rsidR="00D82C3B">
        <w:t>:  What security warnings should be</w:t>
      </w:r>
    </w:p>
    <w:p w:rsidR="001D00EB" w:rsidRDefault="001D00EB" w:rsidP="00916248">
      <w:r>
        <w:t xml:space="preserve">As we reviewed our 24 pages of guidance with its 68 bullet points, a few stood out as particularly important to </w:t>
      </w:r>
      <w:r w:rsidR="005A5401">
        <w:t xml:space="preserve">help answer the key questions product teams had about how to design good security warnings.  </w:t>
      </w:r>
      <w:r w:rsidR="006719AE">
        <w:t>We took these key points and condensed them into NEAT.  The core message of NEAT is that a security warning should be</w:t>
      </w:r>
      <w:r>
        <w:t>:</w:t>
      </w:r>
    </w:p>
    <w:p w:rsidR="003A6930" w:rsidRDefault="003A6930" w:rsidP="00410A8A">
      <w:pPr>
        <w:numPr>
          <w:ilvl w:val="0"/>
          <w:numId w:val="32"/>
        </w:numPr>
        <w:ind w:left="540"/>
      </w:pPr>
      <w:r w:rsidRPr="006719AE">
        <w:rPr>
          <w:b/>
        </w:rPr>
        <w:t>Necessary</w:t>
      </w:r>
      <w:r>
        <w:t xml:space="preserve">:  </w:t>
      </w:r>
      <w:r w:rsidR="006719AE">
        <w:t>A warning should only interrupt a user if it is absolutely necessary to involve the user.  Sometimes, a system can automatically take a safe course of action without interrupting the user.  Sometimes, a security decision can be deferred to a later point in time.</w:t>
      </w:r>
    </w:p>
    <w:p w:rsidR="00D943DB" w:rsidRDefault="003A6930" w:rsidP="00410A8A">
      <w:pPr>
        <w:numPr>
          <w:ilvl w:val="0"/>
          <w:numId w:val="32"/>
        </w:numPr>
        <w:ind w:left="540"/>
      </w:pPr>
      <w:r w:rsidRPr="00D943DB">
        <w:rPr>
          <w:b/>
        </w:rPr>
        <w:t>Explained</w:t>
      </w:r>
      <w:r>
        <w:t xml:space="preserve">:  </w:t>
      </w:r>
      <w:r w:rsidR="006719AE">
        <w:t xml:space="preserve">If it is actually necessary to interrupt the user with a security warning, the warning should </w:t>
      </w:r>
      <w:r w:rsidR="00D943DB">
        <w:t xml:space="preserve">explain the decision the user needs to make and </w:t>
      </w:r>
      <w:r w:rsidR="006719AE">
        <w:t xml:space="preserve">provide the user with all the information necessary to enable them to make a good decision. </w:t>
      </w:r>
      <w:r w:rsidR="00D943DB">
        <w:t xml:space="preserve">Since the Explained part of NEAT is perhaps the most important, we devised another acronym, </w:t>
      </w:r>
      <w:r w:rsidR="000405FF">
        <w:t>SPRUCE</w:t>
      </w:r>
      <w:r w:rsidR="00D943DB">
        <w:t xml:space="preserve"> (see below), to help engineers remember what information to provide in a security warning. </w:t>
      </w:r>
    </w:p>
    <w:p w:rsidR="003A6930" w:rsidRDefault="003A6930" w:rsidP="00410A8A">
      <w:pPr>
        <w:numPr>
          <w:ilvl w:val="0"/>
          <w:numId w:val="32"/>
        </w:numPr>
        <w:ind w:left="540"/>
      </w:pPr>
      <w:r w:rsidRPr="00D943DB">
        <w:rPr>
          <w:b/>
        </w:rPr>
        <w:t>Actionable</w:t>
      </w:r>
      <w:r>
        <w:t xml:space="preserve">:  </w:t>
      </w:r>
      <w:r w:rsidR="00D943DB">
        <w:t xml:space="preserve">A security warning should only be presented to the user if there is a set of steps the user could realistically take to make the right decision in all scenarios, both benign (where there is no attack present) and malicious (where an attack is present).  </w:t>
      </w:r>
    </w:p>
    <w:p w:rsidR="003A6930" w:rsidRDefault="003A6930" w:rsidP="00410A8A">
      <w:pPr>
        <w:numPr>
          <w:ilvl w:val="0"/>
          <w:numId w:val="32"/>
        </w:numPr>
        <w:ind w:left="540"/>
      </w:pPr>
      <w:r w:rsidRPr="006719AE">
        <w:rPr>
          <w:b/>
        </w:rPr>
        <w:t>Tested</w:t>
      </w:r>
      <w:r>
        <w:t xml:space="preserve">:  </w:t>
      </w:r>
      <w:r w:rsidR="00D943DB">
        <w:t xml:space="preserve">Security warnings should be tested </w:t>
      </w:r>
      <w:r w:rsidR="000C5C34">
        <w:t xml:space="preserve">by </w:t>
      </w:r>
      <w:r w:rsidR="00D943DB">
        <w:t xml:space="preserve">all means available, including visual inspection by </w:t>
      </w:r>
      <w:r w:rsidR="000C5C34">
        <w:t xml:space="preserve">many eyes </w:t>
      </w:r>
      <w:r w:rsidR="00D943DB">
        <w:t xml:space="preserve">and formal usability testing.  </w:t>
      </w:r>
    </w:p>
    <w:p w:rsidR="003A6930" w:rsidRDefault="000C5C34" w:rsidP="0075274A">
      <w:r>
        <w:t>F</w:t>
      </w:r>
      <w:r w:rsidR="00B76E93">
        <w:t>or the Explained part of NEAT, we include the acronym</w:t>
      </w:r>
      <w:r w:rsidR="006A1C89">
        <w:t xml:space="preserve"> </w:t>
      </w:r>
      <w:r w:rsidR="000405FF">
        <w:t>SPRUCE</w:t>
      </w:r>
      <w:r w:rsidR="00B76E93">
        <w:t xml:space="preserve">, to represent </w:t>
      </w:r>
      <w:r w:rsidR="005433A2">
        <w:t xml:space="preserve">eight </w:t>
      </w:r>
      <w:r w:rsidR="00B76E93">
        <w:t>of the key elements of a well-explained security warning:</w:t>
      </w:r>
    </w:p>
    <w:p w:rsidR="003A6930" w:rsidRDefault="000405FF" w:rsidP="00410A8A">
      <w:pPr>
        <w:numPr>
          <w:ilvl w:val="0"/>
          <w:numId w:val="35"/>
        </w:numPr>
        <w:ind w:left="540"/>
      </w:pPr>
      <w:r>
        <w:rPr>
          <w:b/>
        </w:rPr>
        <w:t>Source</w:t>
      </w:r>
      <w:r w:rsidR="003A6930">
        <w:t xml:space="preserve">:  </w:t>
      </w:r>
      <w:r w:rsidR="005A5401">
        <w:t xml:space="preserve">An explanation of </w:t>
      </w:r>
      <w:r w:rsidR="000C5C34">
        <w:t xml:space="preserve">the source of </w:t>
      </w:r>
      <w:r w:rsidR="005A5401">
        <w:t xml:space="preserve">a </w:t>
      </w:r>
      <w:r w:rsidR="003A6930">
        <w:t>decision</w:t>
      </w:r>
      <w:r w:rsidR="000C5C34">
        <w:t xml:space="preserve"> </w:t>
      </w:r>
      <w:r w:rsidR="005A5401">
        <w:t>– the application that raised it and the item (file, website, etc.) the user is being asked to trust.</w:t>
      </w:r>
    </w:p>
    <w:p w:rsidR="000405FF" w:rsidRDefault="000405FF" w:rsidP="000405FF">
      <w:pPr>
        <w:numPr>
          <w:ilvl w:val="0"/>
          <w:numId w:val="35"/>
        </w:numPr>
        <w:ind w:left="540"/>
      </w:pPr>
      <w:r w:rsidRPr="000405FF">
        <w:rPr>
          <w:b/>
        </w:rPr>
        <w:t>Process</w:t>
      </w:r>
      <w:r w:rsidR="003A6930">
        <w:t xml:space="preserve">:  </w:t>
      </w:r>
      <w:r>
        <w:t xml:space="preserve">A series of steps the user can take to make a good decision, and a clear statement of the knowledge the user has that might help make the best decision (e.g., sometimes knowing what the user is trying to accomplish can help the system make a better decision). </w:t>
      </w:r>
    </w:p>
    <w:p w:rsidR="000405FF" w:rsidRDefault="000405FF" w:rsidP="000405FF">
      <w:pPr>
        <w:numPr>
          <w:ilvl w:val="0"/>
          <w:numId w:val="35"/>
        </w:numPr>
        <w:ind w:left="540"/>
      </w:pPr>
      <w:r w:rsidRPr="000405FF">
        <w:rPr>
          <w:b/>
        </w:rPr>
        <w:lastRenderedPageBreak/>
        <w:t>Risk</w:t>
      </w:r>
      <w:r w:rsidR="003A6930">
        <w:t xml:space="preserve">:  </w:t>
      </w:r>
      <w:r>
        <w:t>An explanation of the potential consequences of getting the decision wrong.</w:t>
      </w:r>
    </w:p>
    <w:p w:rsidR="000405FF" w:rsidRPr="00653523" w:rsidRDefault="000405FF" w:rsidP="000405FF">
      <w:pPr>
        <w:numPr>
          <w:ilvl w:val="0"/>
          <w:numId w:val="35"/>
        </w:numPr>
        <w:ind w:left="540"/>
      </w:pPr>
      <w:r w:rsidRPr="00653523">
        <w:rPr>
          <w:b/>
        </w:rPr>
        <w:t>U</w:t>
      </w:r>
      <w:r>
        <w:rPr>
          <w:b/>
        </w:rPr>
        <w:t xml:space="preserve">nique </w:t>
      </w:r>
      <w:r w:rsidRPr="00EE5FC4">
        <w:t>knowledge</w:t>
      </w:r>
      <w:r>
        <w:t xml:space="preserve"> u</w:t>
      </w:r>
      <w:r w:rsidRPr="00EE5FC4">
        <w:t>se</w:t>
      </w:r>
      <w:r>
        <w:t xml:space="preserve">r has:  </w:t>
      </w:r>
      <w:r w:rsidR="001A706D">
        <w:t xml:space="preserve">A good warning only occurs when a user has specific preferences or contextual information that the system does not.  </w:t>
      </w:r>
      <w:r>
        <w:t>Th</w:t>
      </w:r>
      <w:r w:rsidR="001A706D">
        <w:t>ose</w:t>
      </w:r>
      <w:r>
        <w:t xml:space="preserve"> </w:t>
      </w:r>
      <w:r w:rsidR="001A706D">
        <w:t xml:space="preserve">preferences or that </w:t>
      </w:r>
      <w:r>
        <w:t>information should be explicitly identified and communicated to the user either implicitly or explicitly, e.g., is this network you’re connecting to at home, at work, or at an airport?</w:t>
      </w:r>
    </w:p>
    <w:p w:rsidR="003A6930" w:rsidRDefault="000405FF" w:rsidP="000405FF">
      <w:pPr>
        <w:numPr>
          <w:ilvl w:val="0"/>
          <w:numId w:val="35"/>
        </w:numPr>
        <w:ind w:left="540"/>
      </w:pPr>
      <w:r>
        <w:rPr>
          <w:b/>
        </w:rPr>
        <w:t xml:space="preserve">Choices:  </w:t>
      </w:r>
      <w:r w:rsidR="005A5401">
        <w:t>A list of options the user has</w:t>
      </w:r>
      <w:r>
        <w:t>, a</w:t>
      </w:r>
      <w:r w:rsidR="00D82C3B">
        <w:t xml:space="preserve"> recommendation from the system about what to do</w:t>
      </w:r>
      <w:r>
        <w:t xml:space="preserve"> (</w:t>
      </w:r>
      <w:r w:rsidR="00D82C3B">
        <w:t>usually this means recommending the user choose the safer option</w:t>
      </w:r>
      <w:r>
        <w:t>), and a clear statement of what will happen for each option the user may choose.</w:t>
      </w:r>
    </w:p>
    <w:p w:rsidR="003A6930" w:rsidRDefault="003A6930" w:rsidP="00410A8A">
      <w:pPr>
        <w:numPr>
          <w:ilvl w:val="0"/>
          <w:numId w:val="35"/>
        </w:numPr>
        <w:ind w:left="540"/>
      </w:pPr>
      <w:r w:rsidRPr="000405FF">
        <w:rPr>
          <w:b/>
        </w:rPr>
        <w:t>Evidence</w:t>
      </w:r>
      <w:r>
        <w:t xml:space="preserve">:  </w:t>
      </w:r>
      <w:r w:rsidR="00D82C3B">
        <w:t xml:space="preserve">Any </w:t>
      </w:r>
      <w:r>
        <w:t xml:space="preserve">information </w:t>
      </w:r>
      <w:r w:rsidR="00D82C3B">
        <w:t xml:space="preserve">the user </w:t>
      </w:r>
      <w:r>
        <w:t xml:space="preserve">should </w:t>
      </w:r>
      <w:r w:rsidR="00D82C3B">
        <w:t>factor into their decision; e.g., if this is a decision about whether to run a program, the program’s publisher is an important piece of evidence.</w:t>
      </w:r>
    </w:p>
    <w:p w:rsidR="00917535" w:rsidRDefault="00D82C3B" w:rsidP="0075274A">
      <w:r>
        <w:t xml:space="preserve">To promote our NEAT guidance, we have developed training materials to help engineers remember NEAT and </w:t>
      </w:r>
      <w:r w:rsidR="003A3BDA">
        <w:t xml:space="preserve">dig </w:t>
      </w:r>
      <w:r>
        <w:t xml:space="preserve">deeper into the details of our guidance if they need to.  </w:t>
      </w:r>
      <w:r w:rsidR="00D5799A">
        <w:t xml:space="preserve">We have produced handy wallet-sized cards with the NEAT acronym on </w:t>
      </w:r>
      <w:r w:rsidR="000405FF">
        <w:t xml:space="preserve">one </w:t>
      </w:r>
      <w:r w:rsidR="00D5799A">
        <w:t xml:space="preserve">side of the card </w:t>
      </w:r>
      <w:r w:rsidR="000405FF">
        <w:t xml:space="preserve">and CHARGES, an earlier version of the SPRUCE acronym, on the other, </w:t>
      </w:r>
      <w:r w:rsidR="00D5799A">
        <w:t>along with text to explain them</w:t>
      </w:r>
      <w:r w:rsidR="003A3BDA">
        <w:t xml:space="preserve"> (see Figure 1)</w:t>
      </w:r>
      <w:r w:rsidR="00D5799A">
        <w:t xml:space="preserve">.  </w:t>
      </w:r>
      <w:r>
        <w:t>We have developed a one-hour talk we deliver to product teams and a</w:t>
      </w:r>
      <w:r w:rsidR="003A3BDA">
        <w:t>n extensive</w:t>
      </w:r>
      <w:r>
        <w:t xml:space="preserve"> slide deck with detailed examples that engineers can use on their own.  We have a checklist that engineers can use to ensure they have followed all of the aspects of NEAT, and we have shared a bug bar with teams to help them prioritize usable-security-related work items.</w:t>
      </w:r>
    </w:p>
    <w:p w:rsidR="006B3F1F" w:rsidRDefault="00917535">
      <w:pPr>
        <w:pStyle w:val="Heading1"/>
      </w:pPr>
      <w:r>
        <w:t>Conclusion</w:t>
      </w:r>
    </w:p>
    <w:p w:rsidR="005E2E41" w:rsidRDefault="00917535" w:rsidP="005E2E41">
      <w:r>
        <w:t xml:space="preserve">Our NEAT guidance is now in use by product teams at Microsoft.  </w:t>
      </w:r>
      <w:r w:rsidR="005E2E41">
        <w:t xml:space="preserve">We often teach NEAT to interested engineers.  </w:t>
      </w:r>
      <w:r w:rsidR="00B7589D">
        <w:t>We have a class on NEAT and how to apply it.  That hour-long class contains lots of examples and explanation beyond what’s in this short note.</w:t>
      </w:r>
      <w:r w:rsidR="005E2E41">
        <w:t xml:space="preserve"> </w:t>
      </w:r>
      <w:r w:rsidR="00B7589D">
        <w:t>W</w:t>
      </w:r>
      <w:r w:rsidR="005E2E41">
        <w:t xml:space="preserve">e find that engineers remember the acronym, or at least remember that there is an acronym.  In any case, our guidance and training have raised awareness of usable security at Microsoft.  The NEAT guidance is a scalable way for us to share our expertise in usable security with product teams, as it gives them an easy way to remember and apply knowledge from usable security research.  </w:t>
      </w:r>
    </w:p>
    <w:p w:rsidR="00CF08B5" w:rsidRDefault="005E2E41" w:rsidP="007A6939">
      <w:r>
        <w:t>A key lesson we’ve learned in our experience with NEAT is that to integrate usable security (or any discipline) into the software development lifecycle, it is important to make it as easy as po</w:t>
      </w:r>
      <w:r w:rsidR="002F1C3E">
        <w:t xml:space="preserve">ssible for </w:t>
      </w:r>
      <w:r w:rsidR="0015439F">
        <w:t xml:space="preserve">busy </w:t>
      </w:r>
      <w:r w:rsidR="002F1C3E">
        <w:t xml:space="preserve">engineers to follow </w:t>
      </w:r>
      <w:r w:rsidR="0015439F">
        <w:t>the advice we give them</w:t>
      </w:r>
      <w:r w:rsidR="002F1C3E">
        <w:t xml:space="preserve">.  </w:t>
      </w:r>
      <w:r w:rsidR="0015439F">
        <w:t xml:space="preserve">There is great value in translating the results from research experiments into actionable takeaways for engineers.  </w:t>
      </w:r>
      <w:r w:rsidR="002F1C3E">
        <w:t xml:space="preserve">NEAT, along with its associated materials, has been a great first step in helping engineers </w:t>
      </w:r>
      <w:r w:rsidR="00B7589D">
        <w:t xml:space="preserve">deliver more </w:t>
      </w:r>
      <w:r w:rsidR="002F1C3E">
        <w:t>usable security.</w:t>
      </w:r>
    </w:p>
    <w:p w:rsidR="00CF08B5" w:rsidRDefault="00CF08B5" w:rsidP="00CF08B5">
      <w:r>
        <w:lastRenderedPageBreak/>
        <w:t>"This paper is for informational purposes only.  MICROSOFT MAKES NO WARRANTIES, EXPRESS, IMPLIED OR STATUTORY, AS TO THE INFORMATION IN THIS DOCUMENT.</w:t>
      </w:r>
    </w:p>
    <w:p w:rsidR="00CF08B5" w:rsidRDefault="00CF08B5" w:rsidP="00CF08B5">
      <w: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CF08B5" w:rsidRDefault="00CF08B5" w:rsidP="00CF08B5">
      <w:r>
        <w:t>© (</w:t>
      </w:r>
      <w:r>
        <w:t>2011</w:t>
      </w:r>
      <w:r>
        <w:t>) Microsoft Corporati</w:t>
      </w:r>
      <w:bookmarkStart w:id="0" w:name="_GoBack"/>
      <w:bookmarkEnd w:id="0"/>
      <w:r>
        <w:t>on.  All rights reserved.</w:t>
      </w:r>
    </w:p>
    <w:p w:rsidR="00CF08B5" w:rsidRDefault="00CF08B5" w:rsidP="00CF08B5"/>
    <w:sectPr w:rsidR="00CF08B5" w:rsidSect="003A3BDA">
      <w:type w:val="continuous"/>
      <w:pgSz w:w="12240" w:h="15840" w:code="1"/>
      <w:pgMar w:top="1080" w:right="1080" w:bottom="1440" w:left="1080" w:header="720" w:footer="720" w:gutter="0"/>
      <w:cols w:num="2" w:space="4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37F" w:rsidRDefault="004B337F">
      <w:r>
        <w:separator/>
      </w:r>
    </w:p>
  </w:endnote>
  <w:endnote w:type="continuationSeparator" w:id="0">
    <w:p w:rsidR="004B337F" w:rsidRDefault="004B3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6D5" w:rsidRDefault="00FB16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718" w:rsidRDefault="00E217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6D5" w:rsidRDefault="00FB16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37F" w:rsidRDefault="004B337F">
      <w:r>
        <w:separator/>
      </w:r>
    </w:p>
  </w:footnote>
  <w:footnote w:type="continuationSeparator" w:id="0">
    <w:p w:rsidR="004B337F" w:rsidRDefault="004B33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6D5" w:rsidRDefault="00FB16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6D5" w:rsidRDefault="00FB16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6D5" w:rsidRDefault="00FB16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F2EDC9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55A5C2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F0C147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95EB0FE"/>
    <w:lvl w:ilvl="0">
      <w:start w:val="1"/>
      <w:numFmt w:val="decimal"/>
      <w:pStyle w:val="ListNumber2"/>
      <w:lvlText w:val="%1."/>
      <w:lvlJc w:val="left"/>
      <w:pPr>
        <w:tabs>
          <w:tab w:val="num" w:pos="720"/>
        </w:tabs>
        <w:ind w:left="720" w:hanging="360"/>
      </w:pPr>
    </w:lvl>
  </w:abstractNum>
  <w:abstractNum w:abstractNumId="4">
    <w:nsid w:val="FFFFFF80"/>
    <w:multiLevelType w:val="singleLevel"/>
    <w:tmpl w:val="843EB82E"/>
    <w:lvl w:ilvl="0">
      <w:start w:val="1"/>
      <w:numFmt w:val="bullet"/>
      <w:pStyle w:val="ListBullet5"/>
      <w:lvlText w:val=""/>
      <w:lvlJc w:val="left"/>
      <w:pPr>
        <w:tabs>
          <w:tab w:val="num" w:pos="1800"/>
        </w:tabs>
        <w:ind w:left="1800" w:hanging="360"/>
      </w:pPr>
      <w:rPr>
        <w:rFonts w:ascii="Symbol" w:eastAsia="Times New Roman" w:hAnsi="Symbol" w:hint="default"/>
      </w:rPr>
    </w:lvl>
  </w:abstractNum>
  <w:abstractNum w:abstractNumId="5">
    <w:nsid w:val="FFFFFF81"/>
    <w:multiLevelType w:val="singleLevel"/>
    <w:tmpl w:val="BA480184"/>
    <w:lvl w:ilvl="0">
      <w:start w:val="1"/>
      <w:numFmt w:val="bullet"/>
      <w:pStyle w:val="ListBullet4"/>
      <w:lvlText w:val=""/>
      <w:lvlJc w:val="left"/>
      <w:pPr>
        <w:tabs>
          <w:tab w:val="num" w:pos="1440"/>
        </w:tabs>
        <w:ind w:left="1440" w:hanging="360"/>
      </w:pPr>
      <w:rPr>
        <w:rFonts w:ascii="Symbol" w:eastAsia="Times New Roman" w:hAnsi="Symbol" w:hint="default"/>
      </w:rPr>
    </w:lvl>
  </w:abstractNum>
  <w:abstractNum w:abstractNumId="6">
    <w:nsid w:val="FFFFFF82"/>
    <w:multiLevelType w:val="singleLevel"/>
    <w:tmpl w:val="9B1C1786"/>
    <w:lvl w:ilvl="0">
      <w:start w:val="1"/>
      <w:numFmt w:val="bullet"/>
      <w:pStyle w:val="ListBullet3"/>
      <w:lvlText w:val=""/>
      <w:lvlJc w:val="left"/>
      <w:pPr>
        <w:tabs>
          <w:tab w:val="num" w:pos="1080"/>
        </w:tabs>
        <w:ind w:left="1080" w:hanging="360"/>
      </w:pPr>
      <w:rPr>
        <w:rFonts w:ascii="Symbol" w:eastAsia="Times New Roman" w:hAnsi="Symbol" w:hint="default"/>
      </w:rPr>
    </w:lvl>
  </w:abstractNum>
  <w:abstractNum w:abstractNumId="7">
    <w:nsid w:val="FFFFFF83"/>
    <w:multiLevelType w:val="singleLevel"/>
    <w:tmpl w:val="536E19F6"/>
    <w:lvl w:ilvl="0">
      <w:start w:val="1"/>
      <w:numFmt w:val="bullet"/>
      <w:pStyle w:val="ListBullet2"/>
      <w:lvlText w:val=""/>
      <w:lvlJc w:val="left"/>
      <w:pPr>
        <w:tabs>
          <w:tab w:val="num" w:pos="720"/>
        </w:tabs>
        <w:ind w:left="720" w:hanging="360"/>
      </w:pPr>
      <w:rPr>
        <w:rFonts w:ascii="Symbol" w:eastAsia="Times New Roman" w:hAnsi="Symbol" w:hint="default"/>
      </w:rPr>
    </w:lvl>
  </w:abstractNum>
  <w:abstractNum w:abstractNumId="8">
    <w:nsid w:val="FFFFFF88"/>
    <w:multiLevelType w:val="singleLevel"/>
    <w:tmpl w:val="66E00E2E"/>
    <w:lvl w:ilvl="0">
      <w:start w:val="1"/>
      <w:numFmt w:val="decimal"/>
      <w:pStyle w:val="ListNumber"/>
      <w:lvlText w:val="%1."/>
      <w:lvlJc w:val="left"/>
      <w:pPr>
        <w:tabs>
          <w:tab w:val="num" w:pos="360"/>
        </w:tabs>
        <w:ind w:left="360" w:hanging="360"/>
      </w:pPr>
    </w:lvl>
  </w:abstractNum>
  <w:abstractNum w:abstractNumId="9">
    <w:nsid w:val="FFFFFF89"/>
    <w:multiLevelType w:val="singleLevel"/>
    <w:tmpl w:val="A836A8AC"/>
    <w:lvl w:ilvl="0">
      <w:start w:val="1"/>
      <w:numFmt w:val="bullet"/>
      <w:pStyle w:val="ListBullet"/>
      <w:lvlText w:val=""/>
      <w:lvlJc w:val="left"/>
      <w:pPr>
        <w:tabs>
          <w:tab w:val="num" w:pos="360"/>
        </w:tabs>
        <w:ind w:left="360" w:hanging="360"/>
      </w:pPr>
      <w:rPr>
        <w:rFonts w:ascii="Symbol" w:eastAsia="Times New Roman" w:hAnsi="Symbol" w:hint="default"/>
      </w:rPr>
    </w:lvl>
  </w:abstractNum>
  <w:abstractNum w:abstractNumId="1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1">
    <w:nsid w:val="FFFFFFFE"/>
    <w:multiLevelType w:val="singleLevel"/>
    <w:tmpl w:val="5CA6E12C"/>
    <w:lvl w:ilvl="0">
      <w:numFmt w:val="decimal"/>
      <w:lvlText w:val="*"/>
      <w:lvlJc w:val="left"/>
    </w:lvl>
  </w:abstractNum>
  <w:abstractNum w:abstractNumId="12">
    <w:nsid w:val="06686EE4"/>
    <w:multiLevelType w:val="multilevel"/>
    <w:tmpl w:val="97181DC6"/>
    <w:lvl w:ilvl="0">
      <w:start w:val="1"/>
      <w:numFmt w:val="bullet"/>
      <w:pStyle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198D75AF"/>
    <w:multiLevelType w:val="singleLevel"/>
    <w:tmpl w:val="DDEE8D5E"/>
    <w:lvl w:ilvl="0">
      <w:start w:val="1"/>
      <w:numFmt w:val="decimal"/>
      <w:lvlText w:val="%1."/>
      <w:legacy w:legacy="1" w:legacySpace="0" w:legacyIndent="144"/>
      <w:lvlJc w:val="left"/>
      <w:pPr>
        <w:ind w:left="144" w:hanging="144"/>
      </w:pPr>
    </w:lvl>
  </w:abstractNum>
  <w:abstractNum w:abstractNumId="14">
    <w:nsid w:val="2AB17545"/>
    <w:multiLevelType w:val="singleLevel"/>
    <w:tmpl w:val="DDEE8D5E"/>
    <w:lvl w:ilvl="0">
      <w:start w:val="1"/>
      <w:numFmt w:val="decimal"/>
      <w:lvlText w:val="%1."/>
      <w:legacy w:legacy="1" w:legacySpace="0" w:legacyIndent="144"/>
      <w:lvlJc w:val="left"/>
      <w:pPr>
        <w:ind w:left="144" w:hanging="144"/>
      </w:pPr>
    </w:lvl>
  </w:abstractNum>
  <w:abstractNum w:abstractNumId="15">
    <w:nsid w:val="2B4B0C88"/>
    <w:multiLevelType w:val="hybridMultilevel"/>
    <w:tmpl w:val="02CA7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E55CDD"/>
    <w:multiLevelType w:val="hybridMultilevel"/>
    <w:tmpl w:val="C48CA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0F08CD"/>
    <w:multiLevelType w:val="multilevel"/>
    <w:tmpl w:val="DDEE8D5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nsid w:val="4229611F"/>
    <w:multiLevelType w:val="singleLevel"/>
    <w:tmpl w:val="DDEE8D5E"/>
    <w:lvl w:ilvl="0">
      <w:start w:val="1"/>
      <w:numFmt w:val="decimal"/>
      <w:lvlText w:val="%1."/>
      <w:legacy w:legacy="1" w:legacySpace="0" w:legacyIndent="144"/>
      <w:lvlJc w:val="left"/>
      <w:pPr>
        <w:ind w:left="144" w:hanging="144"/>
      </w:pPr>
    </w:lvl>
  </w:abstractNum>
  <w:abstractNum w:abstractNumId="19">
    <w:nsid w:val="4AAC6963"/>
    <w:multiLevelType w:val="singleLevel"/>
    <w:tmpl w:val="DDEE8D5E"/>
    <w:lvl w:ilvl="0">
      <w:start w:val="1"/>
      <w:numFmt w:val="decimal"/>
      <w:lvlText w:val="%1."/>
      <w:legacy w:legacy="1" w:legacySpace="0" w:legacyIndent="144"/>
      <w:lvlJc w:val="left"/>
      <w:pPr>
        <w:ind w:left="144" w:hanging="144"/>
      </w:pPr>
    </w:lvl>
  </w:abstractNum>
  <w:abstractNum w:abstractNumId="20">
    <w:nsid w:val="50C854AA"/>
    <w:multiLevelType w:val="hybridMultilevel"/>
    <w:tmpl w:val="9D426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89287D"/>
    <w:multiLevelType w:val="singleLevel"/>
    <w:tmpl w:val="DDEE8D5E"/>
    <w:lvl w:ilvl="0">
      <w:start w:val="1"/>
      <w:numFmt w:val="decimal"/>
      <w:lvlText w:val="%1."/>
      <w:legacy w:legacy="1" w:legacySpace="0" w:legacyIndent="144"/>
      <w:lvlJc w:val="left"/>
      <w:pPr>
        <w:ind w:left="144" w:hanging="144"/>
      </w:pPr>
    </w:lvl>
  </w:abstractNum>
  <w:abstractNum w:abstractNumId="22">
    <w:nsid w:val="55417318"/>
    <w:multiLevelType w:val="hybridMultilevel"/>
    <w:tmpl w:val="7E9EF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D51CC0"/>
    <w:multiLevelType w:val="singleLevel"/>
    <w:tmpl w:val="DDEE8D5E"/>
    <w:lvl w:ilvl="0">
      <w:start w:val="1"/>
      <w:numFmt w:val="decimal"/>
      <w:lvlText w:val="%1."/>
      <w:legacy w:legacy="1" w:legacySpace="0" w:legacyIndent="144"/>
      <w:lvlJc w:val="left"/>
      <w:pPr>
        <w:ind w:left="144" w:hanging="144"/>
      </w:pPr>
    </w:lvl>
  </w:abstractNum>
  <w:abstractNum w:abstractNumId="24">
    <w:nsid w:val="5A0A036E"/>
    <w:multiLevelType w:val="singleLevel"/>
    <w:tmpl w:val="61E616DA"/>
    <w:lvl w:ilvl="0">
      <w:start w:val="1"/>
      <w:numFmt w:val="decimal"/>
      <w:lvlText w:val="%1."/>
      <w:legacy w:legacy="1" w:legacySpace="0" w:legacyIndent="144"/>
      <w:lvlJc w:val="left"/>
      <w:pPr>
        <w:ind w:left="14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1"/>
    <w:lvlOverride w:ilvl="0">
      <w:lvl w:ilvl="0">
        <w:start w:val="1"/>
        <w:numFmt w:val="bullet"/>
        <w:lvlText w:val=""/>
        <w:legacy w:legacy="1" w:legacySpace="0" w:legacyIndent="360"/>
        <w:lvlJc w:val="left"/>
        <w:pPr>
          <w:ind w:left="360" w:hanging="360"/>
        </w:pPr>
        <w:rPr>
          <w:rFonts w:ascii="Symbol" w:eastAsia="Times New Roman" w:hAnsi="Symbol" w:hint="default"/>
        </w:rPr>
      </w:lvl>
    </w:lvlOverride>
  </w:num>
  <w:num w:numId="22">
    <w:abstractNumId w:val="24"/>
  </w:num>
  <w:num w:numId="23">
    <w:abstractNumId w:val="17"/>
  </w:num>
  <w:num w:numId="24">
    <w:abstractNumId w:val="10"/>
  </w:num>
  <w:num w:numId="25">
    <w:abstractNumId w:val="18"/>
  </w:num>
  <w:num w:numId="26">
    <w:abstractNumId w:val="14"/>
  </w:num>
  <w:num w:numId="27">
    <w:abstractNumId w:val="19"/>
  </w:num>
  <w:num w:numId="28">
    <w:abstractNumId w:val="21"/>
  </w:num>
  <w:num w:numId="29">
    <w:abstractNumId w:val="13"/>
  </w:num>
  <w:num w:numId="30">
    <w:abstractNumId w:val="23"/>
  </w:num>
  <w:num w:numId="31">
    <w:abstractNumId w:val="12"/>
  </w:num>
  <w:num w:numId="32">
    <w:abstractNumId w:val="15"/>
  </w:num>
  <w:num w:numId="33">
    <w:abstractNumId w:val="20"/>
  </w:num>
  <w:num w:numId="34">
    <w:abstractNumId w:val="16"/>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HIPaperNum" w:val="400"/>
  </w:docVars>
  <w:rsids>
    <w:rsidRoot w:val="004F7602"/>
    <w:rsid w:val="000344EE"/>
    <w:rsid w:val="000405FF"/>
    <w:rsid w:val="000B6A11"/>
    <w:rsid w:val="000C5C34"/>
    <w:rsid w:val="000D24A7"/>
    <w:rsid w:val="000E5328"/>
    <w:rsid w:val="00123CFD"/>
    <w:rsid w:val="0015439F"/>
    <w:rsid w:val="001A706D"/>
    <w:rsid w:val="001D00EB"/>
    <w:rsid w:val="0025036D"/>
    <w:rsid w:val="002932FF"/>
    <w:rsid w:val="00296021"/>
    <w:rsid w:val="002F1C3E"/>
    <w:rsid w:val="00304632"/>
    <w:rsid w:val="003A3BDA"/>
    <w:rsid w:val="003A6930"/>
    <w:rsid w:val="003E1FB5"/>
    <w:rsid w:val="00405402"/>
    <w:rsid w:val="00410A8A"/>
    <w:rsid w:val="0041270E"/>
    <w:rsid w:val="0046771C"/>
    <w:rsid w:val="00480F98"/>
    <w:rsid w:val="004B337F"/>
    <w:rsid w:val="004B7289"/>
    <w:rsid w:val="004D69A0"/>
    <w:rsid w:val="004F7602"/>
    <w:rsid w:val="005433A2"/>
    <w:rsid w:val="00560E90"/>
    <w:rsid w:val="00573439"/>
    <w:rsid w:val="005967D3"/>
    <w:rsid w:val="005A5401"/>
    <w:rsid w:val="005E2E41"/>
    <w:rsid w:val="005F38D7"/>
    <w:rsid w:val="005F42AE"/>
    <w:rsid w:val="00653523"/>
    <w:rsid w:val="006719AE"/>
    <w:rsid w:val="006A1C89"/>
    <w:rsid w:val="006B3F1F"/>
    <w:rsid w:val="00734981"/>
    <w:rsid w:val="0075274A"/>
    <w:rsid w:val="007A6939"/>
    <w:rsid w:val="00804847"/>
    <w:rsid w:val="00890771"/>
    <w:rsid w:val="008E7148"/>
    <w:rsid w:val="00916248"/>
    <w:rsid w:val="00917535"/>
    <w:rsid w:val="00A62A70"/>
    <w:rsid w:val="00AC0679"/>
    <w:rsid w:val="00AE23F3"/>
    <w:rsid w:val="00B7589D"/>
    <w:rsid w:val="00B76E93"/>
    <w:rsid w:val="00BA3D5D"/>
    <w:rsid w:val="00C17F23"/>
    <w:rsid w:val="00C74416"/>
    <w:rsid w:val="00C76298"/>
    <w:rsid w:val="00CF08B5"/>
    <w:rsid w:val="00D54863"/>
    <w:rsid w:val="00D5799A"/>
    <w:rsid w:val="00D82C3B"/>
    <w:rsid w:val="00D8468E"/>
    <w:rsid w:val="00D92890"/>
    <w:rsid w:val="00D943DB"/>
    <w:rsid w:val="00DB5065"/>
    <w:rsid w:val="00E0329A"/>
    <w:rsid w:val="00E21718"/>
    <w:rsid w:val="00E309BC"/>
    <w:rsid w:val="00E35A4C"/>
    <w:rsid w:val="00E52FF0"/>
    <w:rsid w:val="00E65770"/>
    <w:rsid w:val="00ED2EB9"/>
    <w:rsid w:val="00EE5FC4"/>
    <w:rsid w:val="00F01986"/>
    <w:rsid w:val="00F0493F"/>
    <w:rsid w:val="00F20AD0"/>
    <w:rsid w:val="00F311C1"/>
    <w:rsid w:val="00F56305"/>
    <w:rsid w:val="00FB16D5"/>
    <w:rsid w:val="00FB239A"/>
    <w:rsid w:val="00FC2071"/>
    <w:rsid w:val="00FF3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jc w:val="both"/>
    </w:pPr>
    <w:rPr>
      <w:rFonts w:ascii="Times New Roman" w:eastAsia="Times New Roman" w:hAnsi="Times New Roman"/>
    </w:rPr>
  </w:style>
  <w:style w:type="paragraph" w:styleId="Heading1">
    <w:name w:val="heading 1"/>
    <w:basedOn w:val="Normal"/>
    <w:next w:val="Normal"/>
    <w:qFormat/>
    <w:pPr>
      <w:keepNext/>
      <w:keepLines/>
      <w:spacing w:before="120" w:after="0"/>
      <w:outlineLvl w:val="0"/>
    </w:pPr>
    <w:rPr>
      <w:rFonts w:ascii="Arial" w:hAnsi="Arial"/>
      <w:b/>
      <w:caps/>
      <w:kern w:val="32"/>
      <w:sz w:val="18"/>
    </w:rPr>
  </w:style>
  <w:style w:type="paragraph" w:styleId="Heading2">
    <w:name w:val="heading 2"/>
    <w:basedOn w:val="Heading1"/>
    <w:next w:val="Normal"/>
    <w:qFormat/>
    <w:pPr>
      <w:outlineLvl w:val="1"/>
    </w:pPr>
    <w:rPr>
      <w:caps w:val="0"/>
    </w:rPr>
  </w:style>
  <w:style w:type="paragraph" w:styleId="Heading3">
    <w:name w:val="heading 3"/>
    <w:basedOn w:val="Heading2"/>
    <w:next w:val="Normal"/>
    <w:qFormat/>
    <w:pPr>
      <w:outlineLvl w:val="2"/>
    </w:pPr>
    <w:rPr>
      <w:b w:val="0"/>
      <w:i/>
    </w:rPr>
  </w:style>
  <w:style w:type="paragraph" w:styleId="Heading4">
    <w:name w:val="heading 4"/>
    <w:basedOn w:val="Normal"/>
    <w:next w:val="Normal"/>
    <w:qFormat/>
    <w:pPr>
      <w:keepNext/>
      <w:numPr>
        <w:ilvl w:val="3"/>
        <w:numId w:val="23"/>
      </w:numPr>
      <w:spacing w:before="240" w:after="60"/>
      <w:outlineLvl w:val="3"/>
    </w:pPr>
    <w:rPr>
      <w:b/>
      <w:sz w:val="28"/>
    </w:rPr>
  </w:style>
  <w:style w:type="paragraph" w:styleId="Heading5">
    <w:name w:val="heading 5"/>
    <w:basedOn w:val="Normal"/>
    <w:next w:val="Normal"/>
    <w:qFormat/>
    <w:pPr>
      <w:numPr>
        <w:ilvl w:val="4"/>
        <w:numId w:val="23"/>
      </w:numPr>
      <w:spacing w:before="240" w:after="60"/>
      <w:outlineLvl w:val="4"/>
    </w:pPr>
    <w:rPr>
      <w:b/>
      <w:i/>
      <w:sz w:val="26"/>
    </w:rPr>
  </w:style>
  <w:style w:type="paragraph" w:styleId="Heading6">
    <w:name w:val="heading 6"/>
    <w:basedOn w:val="Normal"/>
    <w:next w:val="Normal"/>
    <w:qFormat/>
    <w:pPr>
      <w:numPr>
        <w:ilvl w:val="5"/>
        <w:numId w:val="23"/>
      </w:numPr>
      <w:spacing w:before="240" w:after="60"/>
      <w:outlineLvl w:val="5"/>
    </w:pPr>
    <w:rPr>
      <w:b/>
      <w:sz w:val="22"/>
    </w:rPr>
  </w:style>
  <w:style w:type="paragraph" w:styleId="Heading7">
    <w:name w:val="heading 7"/>
    <w:basedOn w:val="Normal"/>
    <w:next w:val="Normal"/>
    <w:qFormat/>
    <w:pPr>
      <w:numPr>
        <w:ilvl w:val="6"/>
        <w:numId w:val="23"/>
      </w:numPr>
      <w:spacing w:before="240" w:after="60"/>
      <w:outlineLvl w:val="6"/>
    </w:pPr>
  </w:style>
  <w:style w:type="paragraph" w:styleId="Heading8">
    <w:name w:val="heading 8"/>
    <w:basedOn w:val="Normal"/>
    <w:next w:val="Normal"/>
    <w:qFormat/>
    <w:pPr>
      <w:numPr>
        <w:ilvl w:val="7"/>
        <w:numId w:val="23"/>
      </w:numPr>
      <w:spacing w:before="240" w:after="60"/>
      <w:outlineLvl w:val="7"/>
    </w:pPr>
    <w:rPr>
      <w:i/>
    </w:rPr>
  </w:style>
  <w:style w:type="paragraph" w:styleId="Heading9">
    <w:name w:val="heading 9"/>
    <w:basedOn w:val="Normal"/>
    <w:next w:val="Normal"/>
    <w:qFormat/>
    <w:pPr>
      <w:numPr>
        <w:ilvl w:val="8"/>
        <w:numId w:val="23"/>
      </w:num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rPr>
      <w:rFonts w:ascii="Arial" w:hAnsi="Arial"/>
    </w:rPr>
  </w:style>
  <w:style w:type="paragraph" w:customStyle="1" w:styleId="Author">
    <w:name w:val="Author"/>
    <w:basedOn w:val="Normal"/>
    <w:pPr>
      <w:spacing w:after="0"/>
      <w:jc w:val="center"/>
    </w:pPr>
    <w:rPr>
      <w:b/>
      <w:color w:val="000000"/>
      <w:sz w:val="24"/>
    </w:rPr>
  </w:style>
  <w:style w:type="character" w:styleId="PageNumber">
    <w:name w:val="page number"/>
    <w:basedOn w:val="DefaultParagraphFont"/>
  </w:style>
  <w:style w:type="paragraph" w:styleId="Title">
    <w:name w:val="Title"/>
    <w:basedOn w:val="Normal"/>
    <w:qFormat/>
    <w:pPr>
      <w:spacing w:before="100" w:beforeAutospacing="1"/>
      <w:jc w:val="center"/>
      <w:outlineLvl w:val="0"/>
    </w:pPr>
    <w:rPr>
      <w:rFonts w:ascii="Arial" w:hAnsi="Arial"/>
      <w:b/>
      <w:kern w:val="28"/>
      <w:sz w:val="36"/>
    </w:rPr>
  </w:style>
  <w:style w:type="paragraph" w:styleId="BlockText">
    <w:name w:val="Block Text"/>
    <w:basedOn w:val="Normal"/>
    <w:pPr>
      <w:ind w:left="1440" w:right="1440"/>
    </w:pPr>
  </w:style>
  <w:style w:type="paragraph" w:styleId="Caption">
    <w:name w:val="caption"/>
    <w:basedOn w:val="Normal"/>
    <w:next w:val="Normal"/>
    <w:qFormat/>
    <w:pPr>
      <w:keepNext/>
      <w:spacing w:before="120"/>
      <w:jc w:val="center"/>
    </w:pPr>
    <w:rPr>
      <w:b/>
      <w:sz w:val="18"/>
    </w:r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FootnoteText">
    <w:name w:val="footnote text"/>
    <w:basedOn w:val="Normal"/>
    <w:semiHidden/>
    <w:pPr>
      <w:tabs>
        <w:tab w:val="left" w:pos="360"/>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1"/>
      </w:numPr>
    </w:pPr>
  </w:style>
  <w:style w:type="paragraph" w:styleId="ListBullet2">
    <w:name w:val="List Bullet 2"/>
    <w:basedOn w:val="Normal"/>
    <w:autoRedefine/>
    <w:pPr>
      <w:numPr>
        <w:numId w:val="12"/>
      </w:numPr>
    </w:pPr>
  </w:style>
  <w:style w:type="paragraph" w:styleId="ListBullet3">
    <w:name w:val="List Bullet 3"/>
    <w:basedOn w:val="Normal"/>
    <w:autoRedefine/>
    <w:pPr>
      <w:numPr>
        <w:numId w:val="13"/>
      </w:numPr>
    </w:pPr>
  </w:style>
  <w:style w:type="paragraph" w:styleId="ListBullet4">
    <w:name w:val="List Bullet 4"/>
    <w:basedOn w:val="Normal"/>
    <w:autoRedefine/>
    <w:pPr>
      <w:numPr>
        <w:numId w:val="14"/>
      </w:numPr>
    </w:pPr>
  </w:style>
  <w:style w:type="paragraph" w:styleId="ListBullet5">
    <w:name w:val="List Bullet 5"/>
    <w:basedOn w:val="Normal"/>
    <w:autoRedefine/>
    <w:pPr>
      <w:numPr>
        <w:numId w:val="1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16"/>
      </w:numPr>
    </w:pPr>
  </w:style>
  <w:style w:type="paragraph" w:styleId="ListNumber2">
    <w:name w:val="List Number 2"/>
    <w:basedOn w:val="Normal"/>
    <w:pPr>
      <w:numPr>
        <w:numId w:val="17"/>
      </w:numPr>
    </w:pPr>
  </w:style>
  <w:style w:type="paragraph" w:styleId="ListNumber3">
    <w:name w:val="List Number 3"/>
    <w:basedOn w:val="Normal"/>
    <w:pPr>
      <w:numPr>
        <w:numId w:val="18"/>
      </w:numPr>
    </w:pPr>
  </w:style>
  <w:style w:type="paragraph" w:styleId="ListNumber4">
    <w:name w:val="List Number 4"/>
    <w:basedOn w:val="Normal"/>
    <w:pPr>
      <w:numPr>
        <w:numId w:val="19"/>
      </w:numPr>
    </w:pPr>
  </w:style>
  <w:style w:type="paragraph" w:styleId="ListNumber5">
    <w:name w:val="List Number 5"/>
    <w:basedOn w:val="Normal"/>
    <w:pPr>
      <w:numPr>
        <w:numId w:val="2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semiHidden/>
    <w:rPr>
      <w:vertAlign w:val="superscript"/>
    </w:rPr>
  </w:style>
  <w:style w:type="paragraph" w:customStyle="1" w:styleId="Bullet">
    <w:name w:val="Bullet"/>
    <w:basedOn w:val="Normal"/>
    <w:pPr>
      <w:numPr>
        <w:numId w:val="31"/>
      </w:numPr>
      <w:tabs>
        <w:tab w:val="clear" w:pos="720"/>
        <w:tab w:val="left" w:pos="180"/>
      </w:tabs>
      <w:overflowPunct w:val="0"/>
      <w:autoSpaceDE w:val="0"/>
      <w:autoSpaceDN w:val="0"/>
      <w:adjustRightInd w:val="0"/>
      <w:spacing w:after="80"/>
      <w:ind w:left="180" w:hanging="180"/>
      <w:textAlignment w:val="baseline"/>
    </w:pPr>
  </w:style>
  <w:style w:type="paragraph" w:customStyle="1" w:styleId="Paper-Title">
    <w:name w:val="Paper-Title"/>
    <w:basedOn w:val="Normal"/>
    <w:pPr>
      <w:overflowPunct w:val="0"/>
      <w:autoSpaceDE w:val="0"/>
      <w:autoSpaceDN w:val="0"/>
      <w:adjustRightInd w:val="0"/>
      <w:jc w:val="center"/>
      <w:textAlignment w:val="baseline"/>
    </w:pPr>
    <w:rPr>
      <w:rFonts w:ascii="Helvetica" w:hAnsi="Helvetica"/>
      <w:b/>
      <w:sz w:val="36"/>
    </w:rPr>
  </w:style>
  <w:style w:type="paragraph" w:customStyle="1" w:styleId="References">
    <w:name w:val="References"/>
    <w:basedOn w:val="Normal"/>
    <w:pPr>
      <w:overflowPunct w:val="0"/>
      <w:autoSpaceDE w:val="0"/>
      <w:autoSpaceDN w:val="0"/>
      <w:adjustRightInd w:val="0"/>
      <w:spacing w:after="80"/>
      <w:ind w:left="270" w:hanging="270"/>
      <w:textAlignment w:val="baseline"/>
    </w:pPr>
  </w:style>
  <w:style w:type="character" w:styleId="CommentReference">
    <w:name w:val="annotation reference"/>
    <w:semiHidden/>
    <w:rPr>
      <w:sz w:val="16"/>
    </w:rPr>
  </w:style>
  <w:style w:type="paragraph" w:customStyle="1" w:styleId="Abstract">
    <w:name w:val="Abstract"/>
    <w:basedOn w:val="Heading1"/>
    <w:pPr>
      <w:spacing w:before="40"/>
      <w:outlineLvl w:val="9"/>
    </w:pPr>
    <w:rPr>
      <w:rFonts w:ascii="Times New Roman" w:hAnsi="Times New Roman"/>
      <w:kern w:val="28"/>
      <w:sz w:val="24"/>
    </w:rPr>
  </w:style>
  <w:style w:type="character" w:styleId="Hyperlink">
    <w:name w:val="Hyperlink"/>
    <w:rPr>
      <w:color w:val="0000FF"/>
      <w:u w:val="single"/>
    </w:rPr>
  </w:style>
  <w:style w:type="paragraph" w:customStyle="1" w:styleId="Affiliation">
    <w:name w:val="Affiliation"/>
    <w:basedOn w:val="Author"/>
    <w:rPr>
      <w:b w:val="0"/>
    </w:rPr>
  </w:style>
  <w:style w:type="paragraph" w:customStyle="1" w:styleId="Figure">
    <w:name w:val="Figure"/>
    <w:basedOn w:val="Normal"/>
    <w:pPr>
      <w:spacing w:after="0"/>
    </w:pPr>
  </w:style>
  <w:style w:type="paragraph" w:customStyle="1" w:styleId="Copyright">
    <w:name w:val="Copyright"/>
    <w:basedOn w:val="Normal"/>
    <w:pPr>
      <w:framePr w:w="4680" w:h="1977" w:hRule="exact" w:hSpace="187" w:wrap="auto" w:vAnchor="page" w:hAnchor="page" w:x="1155" w:y="12605" w:anchorLock="1"/>
      <w:spacing w:after="0"/>
    </w:pPr>
    <w:rPr>
      <w:sz w:val="16"/>
    </w:rPr>
  </w:style>
  <w:style w:type="paragraph" w:customStyle="1" w:styleId="cell">
    <w:name w:val="cell"/>
    <w:basedOn w:val="Normal"/>
    <w:pPr>
      <w:keepNext/>
      <w:keepLines/>
      <w:jc w:val="center"/>
    </w:pPr>
    <w:rPr>
      <w:b/>
    </w:rPr>
  </w:style>
  <w:style w:type="character" w:customStyle="1" w:styleId="v8n000000">
    <w:name w:val="v8n000000"/>
    <w:basedOn w:val="DefaultParagraphFont"/>
  </w:style>
  <w:style w:type="paragraph" w:customStyle="1" w:styleId="TableText">
    <w:name w:val="Table Text"/>
    <w:basedOn w:val="Normal"/>
    <w:pPr>
      <w:keepLines/>
      <w:spacing w:before="40" w:after="40"/>
      <w:jc w:val="left"/>
    </w:pPr>
  </w:style>
  <w:style w:type="character" w:styleId="FollowedHyperlink">
    <w:name w:val="FollowedHyperlink"/>
    <w:rPr>
      <w:color w:val="800080"/>
      <w:u w:val="single"/>
    </w:rPr>
  </w:style>
  <w:style w:type="paragraph" w:styleId="CommentSubject">
    <w:name w:val="annotation subject"/>
    <w:basedOn w:val="CommentText"/>
    <w:next w:val="CommentText"/>
    <w:semiHidden/>
    <w:rsid w:val="006D66A4"/>
    <w:rPr>
      <w:b/>
      <w:bCs/>
    </w:rPr>
  </w:style>
  <w:style w:type="paragraph" w:styleId="BalloonText">
    <w:name w:val="Balloon Text"/>
    <w:basedOn w:val="Normal"/>
    <w:semiHidden/>
    <w:rsid w:val="006D66A4"/>
    <w:rPr>
      <w:rFonts w:ascii="Tahoma" w:hAnsi="Tahoma" w:cs="Tahoma"/>
      <w:sz w:val="16"/>
      <w:szCs w:val="16"/>
    </w:rPr>
  </w:style>
  <w:style w:type="character" w:customStyle="1" w:styleId="q">
    <w:name w:val="q"/>
    <w:basedOn w:val="DefaultParagraphFont"/>
    <w:rsid w:val="00F019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jc w:val="both"/>
    </w:pPr>
    <w:rPr>
      <w:rFonts w:ascii="Times New Roman" w:eastAsia="Times New Roman" w:hAnsi="Times New Roman"/>
    </w:rPr>
  </w:style>
  <w:style w:type="paragraph" w:styleId="Heading1">
    <w:name w:val="heading 1"/>
    <w:basedOn w:val="Normal"/>
    <w:next w:val="Normal"/>
    <w:qFormat/>
    <w:pPr>
      <w:keepNext/>
      <w:keepLines/>
      <w:spacing w:before="120" w:after="0"/>
      <w:outlineLvl w:val="0"/>
    </w:pPr>
    <w:rPr>
      <w:rFonts w:ascii="Arial" w:hAnsi="Arial"/>
      <w:b/>
      <w:caps/>
      <w:kern w:val="32"/>
      <w:sz w:val="18"/>
    </w:rPr>
  </w:style>
  <w:style w:type="paragraph" w:styleId="Heading2">
    <w:name w:val="heading 2"/>
    <w:basedOn w:val="Heading1"/>
    <w:next w:val="Normal"/>
    <w:qFormat/>
    <w:pPr>
      <w:outlineLvl w:val="1"/>
    </w:pPr>
    <w:rPr>
      <w:caps w:val="0"/>
    </w:rPr>
  </w:style>
  <w:style w:type="paragraph" w:styleId="Heading3">
    <w:name w:val="heading 3"/>
    <w:basedOn w:val="Heading2"/>
    <w:next w:val="Normal"/>
    <w:qFormat/>
    <w:pPr>
      <w:outlineLvl w:val="2"/>
    </w:pPr>
    <w:rPr>
      <w:b w:val="0"/>
      <w:i/>
    </w:rPr>
  </w:style>
  <w:style w:type="paragraph" w:styleId="Heading4">
    <w:name w:val="heading 4"/>
    <w:basedOn w:val="Normal"/>
    <w:next w:val="Normal"/>
    <w:qFormat/>
    <w:pPr>
      <w:keepNext/>
      <w:numPr>
        <w:ilvl w:val="3"/>
        <w:numId w:val="23"/>
      </w:numPr>
      <w:spacing w:before="240" w:after="60"/>
      <w:outlineLvl w:val="3"/>
    </w:pPr>
    <w:rPr>
      <w:b/>
      <w:sz w:val="28"/>
    </w:rPr>
  </w:style>
  <w:style w:type="paragraph" w:styleId="Heading5">
    <w:name w:val="heading 5"/>
    <w:basedOn w:val="Normal"/>
    <w:next w:val="Normal"/>
    <w:qFormat/>
    <w:pPr>
      <w:numPr>
        <w:ilvl w:val="4"/>
        <w:numId w:val="23"/>
      </w:numPr>
      <w:spacing w:before="240" w:after="60"/>
      <w:outlineLvl w:val="4"/>
    </w:pPr>
    <w:rPr>
      <w:b/>
      <w:i/>
      <w:sz w:val="26"/>
    </w:rPr>
  </w:style>
  <w:style w:type="paragraph" w:styleId="Heading6">
    <w:name w:val="heading 6"/>
    <w:basedOn w:val="Normal"/>
    <w:next w:val="Normal"/>
    <w:qFormat/>
    <w:pPr>
      <w:numPr>
        <w:ilvl w:val="5"/>
        <w:numId w:val="23"/>
      </w:numPr>
      <w:spacing w:before="240" w:after="60"/>
      <w:outlineLvl w:val="5"/>
    </w:pPr>
    <w:rPr>
      <w:b/>
      <w:sz w:val="22"/>
    </w:rPr>
  </w:style>
  <w:style w:type="paragraph" w:styleId="Heading7">
    <w:name w:val="heading 7"/>
    <w:basedOn w:val="Normal"/>
    <w:next w:val="Normal"/>
    <w:qFormat/>
    <w:pPr>
      <w:numPr>
        <w:ilvl w:val="6"/>
        <w:numId w:val="23"/>
      </w:numPr>
      <w:spacing w:before="240" w:after="60"/>
      <w:outlineLvl w:val="6"/>
    </w:pPr>
  </w:style>
  <w:style w:type="paragraph" w:styleId="Heading8">
    <w:name w:val="heading 8"/>
    <w:basedOn w:val="Normal"/>
    <w:next w:val="Normal"/>
    <w:qFormat/>
    <w:pPr>
      <w:numPr>
        <w:ilvl w:val="7"/>
        <w:numId w:val="23"/>
      </w:numPr>
      <w:spacing w:before="240" w:after="60"/>
      <w:outlineLvl w:val="7"/>
    </w:pPr>
    <w:rPr>
      <w:i/>
    </w:rPr>
  </w:style>
  <w:style w:type="paragraph" w:styleId="Heading9">
    <w:name w:val="heading 9"/>
    <w:basedOn w:val="Normal"/>
    <w:next w:val="Normal"/>
    <w:qFormat/>
    <w:pPr>
      <w:numPr>
        <w:ilvl w:val="8"/>
        <w:numId w:val="23"/>
      </w:num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rPr>
      <w:rFonts w:ascii="Arial" w:hAnsi="Arial"/>
    </w:rPr>
  </w:style>
  <w:style w:type="paragraph" w:customStyle="1" w:styleId="Author">
    <w:name w:val="Author"/>
    <w:basedOn w:val="Normal"/>
    <w:pPr>
      <w:spacing w:after="0"/>
      <w:jc w:val="center"/>
    </w:pPr>
    <w:rPr>
      <w:b/>
      <w:color w:val="000000"/>
      <w:sz w:val="24"/>
    </w:rPr>
  </w:style>
  <w:style w:type="character" w:styleId="PageNumber">
    <w:name w:val="page number"/>
    <w:basedOn w:val="DefaultParagraphFont"/>
  </w:style>
  <w:style w:type="paragraph" w:styleId="Title">
    <w:name w:val="Title"/>
    <w:basedOn w:val="Normal"/>
    <w:qFormat/>
    <w:pPr>
      <w:spacing w:before="100" w:beforeAutospacing="1"/>
      <w:jc w:val="center"/>
      <w:outlineLvl w:val="0"/>
    </w:pPr>
    <w:rPr>
      <w:rFonts w:ascii="Arial" w:hAnsi="Arial"/>
      <w:b/>
      <w:kern w:val="28"/>
      <w:sz w:val="36"/>
    </w:rPr>
  </w:style>
  <w:style w:type="paragraph" w:styleId="BlockText">
    <w:name w:val="Block Text"/>
    <w:basedOn w:val="Normal"/>
    <w:pPr>
      <w:ind w:left="1440" w:right="1440"/>
    </w:pPr>
  </w:style>
  <w:style w:type="paragraph" w:styleId="Caption">
    <w:name w:val="caption"/>
    <w:basedOn w:val="Normal"/>
    <w:next w:val="Normal"/>
    <w:qFormat/>
    <w:pPr>
      <w:keepNext/>
      <w:spacing w:before="120"/>
      <w:jc w:val="center"/>
    </w:pPr>
    <w:rPr>
      <w:b/>
      <w:sz w:val="18"/>
    </w:r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FootnoteText">
    <w:name w:val="footnote text"/>
    <w:basedOn w:val="Normal"/>
    <w:semiHidden/>
    <w:pPr>
      <w:tabs>
        <w:tab w:val="left" w:pos="360"/>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1"/>
      </w:numPr>
    </w:pPr>
  </w:style>
  <w:style w:type="paragraph" w:styleId="ListBullet2">
    <w:name w:val="List Bullet 2"/>
    <w:basedOn w:val="Normal"/>
    <w:autoRedefine/>
    <w:pPr>
      <w:numPr>
        <w:numId w:val="12"/>
      </w:numPr>
    </w:pPr>
  </w:style>
  <w:style w:type="paragraph" w:styleId="ListBullet3">
    <w:name w:val="List Bullet 3"/>
    <w:basedOn w:val="Normal"/>
    <w:autoRedefine/>
    <w:pPr>
      <w:numPr>
        <w:numId w:val="13"/>
      </w:numPr>
    </w:pPr>
  </w:style>
  <w:style w:type="paragraph" w:styleId="ListBullet4">
    <w:name w:val="List Bullet 4"/>
    <w:basedOn w:val="Normal"/>
    <w:autoRedefine/>
    <w:pPr>
      <w:numPr>
        <w:numId w:val="14"/>
      </w:numPr>
    </w:pPr>
  </w:style>
  <w:style w:type="paragraph" w:styleId="ListBullet5">
    <w:name w:val="List Bullet 5"/>
    <w:basedOn w:val="Normal"/>
    <w:autoRedefine/>
    <w:pPr>
      <w:numPr>
        <w:numId w:val="1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16"/>
      </w:numPr>
    </w:pPr>
  </w:style>
  <w:style w:type="paragraph" w:styleId="ListNumber2">
    <w:name w:val="List Number 2"/>
    <w:basedOn w:val="Normal"/>
    <w:pPr>
      <w:numPr>
        <w:numId w:val="17"/>
      </w:numPr>
    </w:pPr>
  </w:style>
  <w:style w:type="paragraph" w:styleId="ListNumber3">
    <w:name w:val="List Number 3"/>
    <w:basedOn w:val="Normal"/>
    <w:pPr>
      <w:numPr>
        <w:numId w:val="18"/>
      </w:numPr>
    </w:pPr>
  </w:style>
  <w:style w:type="paragraph" w:styleId="ListNumber4">
    <w:name w:val="List Number 4"/>
    <w:basedOn w:val="Normal"/>
    <w:pPr>
      <w:numPr>
        <w:numId w:val="19"/>
      </w:numPr>
    </w:pPr>
  </w:style>
  <w:style w:type="paragraph" w:styleId="ListNumber5">
    <w:name w:val="List Number 5"/>
    <w:basedOn w:val="Normal"/>
    <w:pPr>
      <w:numPr>
        <w:numId w:val="2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semiHidden/>
    <w:rPr>
      <w:vertAlign w:val="superscript"/>
    </w:rPr>
  </w:style>
  <w:style w:type="paragraph" w:customStyle="1" w:styleId="Bullet">
    <w:name w:val="Bullet"/>
    <w:basedOn w:val="Normal"/>
    <w:pPr>
      <w:numPr>
        <w:numId w:val="31"/>
      </w:numPr>
      <w:tabs>
        <w:tab w:val="clear" w:pos="720"/>
        <w:tab w:val="left" w:pos="180"/>
      </w:tabs>
      <w:overflowPunct w:val="0"/>
      <w:autoSpaceDE w:val="0"/>
      <w:autoSpaceDN w:val="0"/>
      <w:adjustRightInd w:val="0"/>
      <w:spacing w:after="80"/>
      <w:ind w:left="180" w:hanging="180"/>
      <w:textAlignment w:val="baseline"/>
    </w:pPr>
  </w:style>
  <w:style w:type="paragraph" w:customStyle="1" w:styleId="Paper-Title">
    <w:name w:val="Paper-Title"/>
    <w:basedOn w:val="Normal"/>
    <w:pPr>
      <w:overflowPunct w:val="0"/>
      <w:autoSpaceDE w:val="0"/>
      <w:autoSpaceDN w:val="0"/>
      <w:adjustRightInd w:val="0"/>
      <w:jc w:val="center"/>
      <w:textAlignment w:val="baseline"/>
    </w:pPr>
    <w:rPr>
      <w:rFonts w:ascii="Helvetica" w:hAnsi="Helvetica"/>
      <w:b/>
      <w:sz w:val="36"/>
    </w:rPr>
  </w:style>
  <w:style w:type="paragraph" w:customStyle="1" w:styleId="References">
    <w:name w:val="References"/>
    <w:basedOn w:val="Normal"/>
    <w:pPr>
      <w:overflowPunct w:val="0"/>
      <w:autoSpaceDE w:val="0"/>
      <w:autoSpaceDN w:val="0"/>
      <w:adjustRightInd w:val="0"/>
      <w:spacing w:after="80"/>
      <w:ind w:left="270" w:hanging="270"/>
      <w:textAlignment w:val="baseline"/>
    </w:pPr>
  </w:style>
  <w:style w:type="character" w:styleId="CommentReference">
    <w:name w:val="annotation reference"/>
    <w:semiHidden/>
    <w:rPr>
      <w:sz w:val="16"/>
    </w:rPr>
  </w:style>
  <w:style w:type="paragraph" w:customStyle="1" w:styleId="Abstract">
    <w:name w:val="Abstract"/>
    <w:basedOn w:val="Heading1"/>
    <w:pPr>
      <w:spacing w:before="40"/>
      <w:outlineLvl w:val="9"/>
    </w:pPr>
    <w:rPr>
      <w:rFonts w:ascii="Times New Roman" w:hAnsi="Times New Roman"/>
      <w:kern w:val="28"/>
      <w:sz w:val="24"/>
    </w:rPr>
  </w:style>
  <w:style w:type="character" w:styleId="Hyperlink">
    <w:name w:val="Hyperlink"/>
    <w:rPr>
      <w:color w:val="0000FF"/>
      <w:u w:val="single"/>
    </w:rPr>
  </w:style>
  <w:style w:type="paragraph" w:customStyle="1" w:styleId="Affiliation">
    <w:name w:val="Affiliation"/>
    <w:basedOn w:val="Author"/>
    <w:rPr>
      <w:b w:val="0"/>
    </w:rPr>
  </w:style>
  <w:style w:type="paragraph" w:customStyle="1" w:styleId="Figure">
    <w:name w:val="Figure"/>
    <w:basedOn w:val="Normal"/>
    <w:pPr>
      <w:spacing w:after="0"/>
    </w:pPr>
  </w:style>
  <w:style w:type="paragraph" w:customStyle="1" w:styleId="Copyright">
    <w:name w:val="Copyright"/>
    <w:basedOn w:val="Normal"/>
    <w:pPr>
      <w:framePr w:w="4680" w:h="1977" w:hRule="exact" w:hSpace="187" w:wrap="auto" w:vAnchor="page" w:hAnchor="page" w:x="1155" w:y="12605" w:anchorLock="1"/>
      <w:spacing w:after="0"/>
    </w:pPr>
    <w:rPr>
      <w:sz w:val="16"/>
    </w:rPr>
  </w:style>
  <w:style w:type="paragraph" w:customStyle="1" w:styleId="cell">
    <w:name w:val="cell"/>
    <w:basedOn w:val="Normal"/>
    <w:pPr>
      <w:keepNext/>
      <w:keepLines/>
      <w:jc w:val="center"/>
    </w:pPr>
    <w:rPr>
      <w:b/>
    </w:rPr>
  </w:style>
  <w:style w:type="character" w:customStyle="1" w:styleId="v8n000000">
    <w:name w:val="v8n000000"/>
    <w:basedOn w:val="DefaultParagraphFont"/>
  </w:style>
  <w:style w:type="paragraph" w:customStyle="1" w:styleId="TableText">
    <w:name w:val="Table Text"/>
    <w:basedOn w:val="Normal"/>
    <w:pPr>
      <w:keepLines/>
      <w:spacing w:before="40" w:after="40"/>
      <w:jc w:val="left"/>
    </w:pPr>
  </w:style>
  <w:style w:type="character" w:styleId="FollowedHyperlink">
    <w:name w:val="FollowedHyperlink"/>
    <w:rPr>
      <w:color w:val="800080"/>
      <w:u w:val="single"/>
    </w:rPr>
  </w:style>
  <w:style w:type="paragraph" w:styleId="CommentSubject">
    <w:name w:val="annotation subject"/>
    <w:basedOn w:val="CommentText"/>
    <w:next w:val="CommentText"/>
    <w:semiHidden/>
    <w:rsid w:val="006D66A4"/>
    <w:rPr>
      <w:b/>
      <w:bCs/>
    </w:rPr>
  </w:style>
  <w:style w:type="paragraph" w:styleId="BalloonText">
    <w:name w:val="Balloon Text"/>
    <w:basedOn w:val="Normal"/>
    <w:semiHidden/>
    <w:rsid w:val="006D66A4"/>
    <w:rPr>
      <w:rFonts w:ascii="Tahoma" w:hAnsi="Tahoma" w:cs="Tahoma"/>
      <w:sz w:val="16"/>
      <w:szCs w:val="16"/>
    </w:rPr>
  </w:style>
  <w:style w:type="character" w:customStyle="1" w:styleId="q">
    <w:name w:val="q"/>
    <w:basedOn w:val="DefaultParagraphFont"/>
    <w:rsid w:val="00F01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380183">
      <w:bodyDiv w:val="1"/>
      <w:marLeft w:val="0"/>
      <w:marRight w:val="0"/>
      <w:marTop w:val="0"/>
      <w:marBottom w:val="0"/>
      <w:divBdr>
        <w:top w:val="none" w:sz="0" w:space="0" w:color="auto"/>
        <w:left w:val="none" w:sz="0" w:space="0" w:color="auto"/>
        <w:bottom w:val="none" w:sz="0" w:space="0" w:color="auto"/>
        <w:right w:val="none" w:sz="0" w:space="0" w:color="auto"/>
      </w:divBdr>
      <w:divsChild>
        <w:div w:id="693533682">
          <w:marLeft w:val="0"/>
          <w:marRight w:val="0"/>
          <w:marTop w:val="0"/>
          <w:marBottom w:val="0"/>
          <w:divBdr>
            <w:top w:val="none" w:sz="0" w:space="0" w:color="auto"/>
            <w:left w:val="none" w:sz="0" w:space="0" w:color="auto"/>
            <w:bottom w:val="none" w:sz="0" w:space="0" w:color="auto"/>
            <w:right w:val="none" w:sz="0" w:space="0" w:color="auto"/>
          </w:divBdr>
        </w:div>
        <w:div w:id="1282300762">
          <w:marLeft w:val="0"/>
          <w:marRight w:val="0"/>
          <w:marTop w:val="0"/>
          <w:marBottom w:val="0"/>
          <w:divBdr>
            <w:top w:val="none" w:sz="0" w:space="0" w:color="auto"/>
            <w:left w:val="none" w:sz="0" w:space="0" w:color="auto"/>
            <w:bottom w:val="none" w:sz="0" w:space="0" w:color="auto"/>
            <w:right w:val="none" w:sz="0" w:space="0" w:color="auto"/>
          </w:divBdr>
        </w:div>
        <w:div w:id="1769616079">
          <w:marLeft w:val="0"/>
          <w:marRight w:val="0"/>
          <w:marTop w:val="0"/>
          <w:marBottom w:val="0"/>
          <w:divBdr>
            <w:top w:val="none" w:sz="0" w:space="0" w:color="auto"/>
            <w:left w:val="none" w:sz="0" w:space="0" w:color="auto"/>
            <w:bottom w:val="none" w:sz="0" w:space="0" w:color="auto"/>
            <w:right w:val="none" w:sz="0" w:space="0" w:color="auto"/>
          </w:divBdr>
        </w:div>
      </w:divsChild>
    </w:div>
    <w:div w:id="956372223">
      <w:bodyDiv w:val="1"/>
      <w:marLeft w:val="0"/>
      <w:marRight w:val="0"/>
      <w:marTop w:val="0"/>
      <w:marBottom w:val="0"/>
      <w:divBdr>
        <w:top w:val="none" w:sz="0" w:space="0" w:color="auto"/>
        <w:left w:val="none" w:sz="0" w:space="0" w:color="auto"/>
        <w:bottom w:val="none" w:sz="0" w:space="0" w:color="auto"/>
        <w:right w:val="none" w:sz="0" w:space="0" w:color="auto"/>
      </w:divBdr>
    </w:div>
    <w:div w:id="1075324500">
      <w:bodyDiv w:val="1"/>
      <w:marLeft w:val="0"/>
      <w:marRight w:val="0"/>
      <w:marTop w:val="0"/>
      <w:marBottom w:val="0"/>
      <w:divBdr>
        <w:top w:val="none" w:sz="0" w:space="0" w:color="auto"/>
        <w:left w:val="none" w:sz="0" w:space="0" w:color="auto"/>
        <w:bottom w:val="none" w:sz="0" w:space="0" w:color="auto"/>
        <w:right w:val="none" w:sz="0" w:space="0" w:color="auto"/>
      </w:divBdr>
      <w:divsChild>
        <w:div w:id="119538234">
          <w:marLeft w:val="1166"/>
          <w:marRight w:val="0"/>
          <w:marTop w:val="120"/>
          <w:marBottom w:val="0"/>
          <w:divBdr>
            <w:top w:val="none" w:sz="0" w:space="0" w:color="auto"/>
            <w:left w:val="none" w:sz="0" w:space="0" w:color="auto"/>
            <w:bottom w:val="none" w:sz="0" w:space="0" w:color="auto"/>
            <w:right w:val="none" w:sz="0" w:space="0" w:color="auto"/>
          </w:divBdr>
        </w:div>
        <w:div w:id="713426144">
          <w:marLeft w:val="1166"/>
          <w:marRight w:val="0"/>
          <w:marTop w:val="120"/>
          <w:marBottom w:val="0"/>
          <w:divBdr>
            <w:top w:val="none" w:sz="0" w:space="0" w:color="auto"/>
            <w:left w:val="none" w:sz="0" w:space="0" w:color="auto"/>
            <w:bottom w:val="none" w:sz="0" w:space="0" w:color="auto"/>
            <w:right w:val="none" w:sz="0" w:space="0" w:color="auto"/>
          </w:divBdr>
        </w:div>
        <w:div w:id="809053505">
          <w:marLeft w:val="1166"/>
          <w:marRight w:val="0"/>
          <w:marTop w:val="120"/>
          <w:marBottom w:val="0"/>
          <w:divBdr>
            <w:top w:val="none" w:sz="0" w:space="0" w:color="auto"/>
            <w:left w:val="none" w:sz="0" w:space="0" w:color="auto"/>
            <w:bottom w:val="none" w:sz="0" w:space="0" w:color="auto"/>
            <w:right w:val="none" w:sz="0" w:space="0" w:color="auto"/>
          </w:divBdr>
        </w:div>
        <w:div w:id="1280725327">
          <w:marLeft w:val="1166"/>
          <w:marRight w:val="0"/>
          <w:marTop w:val="120"/>
          <w:marBottom w:val="0"/>
          <w:divBdr>
            <w:top w:val="none" w:sz="0" w:space="0" w:color="auto"/>
            <w:left w:val="none" w:sz="0" w:space="0" w:color="auto"/>
            <w:bottom w:val="none" w:sz="0" w:space="0" w:color="auto"/>
            <w:right w:val="none" w:sz="0" w:space="0" w:color="auto"/>
          </w:divBdr>
        </w:div>
        <w:div w:id="1531647408">
          <w:marLeft w:val="1166"/>
          <w:marRight w:val="0"/>
          <w:marTop w:val="120"/>
          <w:marBottom w:val="0"/>
          <w:divBdr>
            <w:top w:val="none" w:sz="0" w:space="0" w:color="auto"/>
            <w:left w:val="none" w:sz="0" w:space="0" w:color="auto"/>
            <w:bottom w:val="none" w:sz="0" w:space="0" w:color="auto"/>
            <w:right w:val="none" w:sz="0" w:space="0" w:color="auto"/>
          </w:divBdr>
        </w:div>
        <w:div w:id="2064713273">
          <w:marLeft w:val="1166"/>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1591</Words>
  <Characters>9075</Characters>
  <Application>Microsoft Office Word</Application>
  <DocSecurity>0</DocSecurity>
  <Lines>75</Lines>
  <Paragraphs>21</Paragraphs>
  <ScaleCrop>false</ScaleCrop>
  <LinksUpToDate>false</LinksUpToDate>
  <CharactersWithSpaces>10645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2011-05-04T17:49:00Z</dcterms:created>
  <dcterms:modified xsi:type="dcterms:W3CDTF">2011-05-04T17:53:00Z</dcterms:modified>
</cp:coreProperties>
</file>